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sz w:val="22"/>
          <w:szCs w:val="22"/>
        </w:rPr>
      </w:r>
    </w:p>
    <w:p>
      <w:pPr>
        <w:pStyle w:val="Style12"/>
        <w:ind w:right="-766" w:hanging="0"/>
        <w:rPr>
          <w:sz w:val="22"/>
          <w:szCs w:val="22"/>
        </w:rPr>
      </w:pPr>
      <w:r>
        <w:rPr>
          <w:sz w:val="22"/>
          <w:szCs w:val="22"/>
        </w:rPr>
      </w:r>
    </w:p>
    <w:p>
      <w:pPr>
        <w:pStyle w:val="Style12"/>
        <w:ind w:right="-766" w:hanging="0"/>
        <w:rPr>
          <w:sz w:val="22"/>
          <w:szCs w:val="22"/>
        </w:rPr>
      </w:pPr>
      <w:r>
        <w:rPr>
          <w:sz w:val="22"/>
          <w:szCs w:val="22"/>
        </w:rPr>
      </w:r>
    </w:p>
    <w:p>
      <w:pPr>
        <w:pStyle w:val="Style12"/>
        <w:ind w:right="-766" w:hanging="0"/>
        <w:rPr>
          <w:sz w:val="22"/>
          <w:szCs w:val="22"/>
        </w:rPr>
      </w:pPr>
      <w:r>
        <w:rPr>
          <w:sz w:val="22"/>
          <w:szCs w:val="22"/>
        </w:rPr>
      </w:r>
    </w:p>
    <w:p>
      <w:pPr>
        <w:pStyle w:val="Style12"/>
        <w:ind w:right="-766" w:hanging="0"/>
        <w:rPr>
          <w:sz w:val="22"/>
          <w:szCs w:val="22"/>
        </w:rPr>
      </w:pPr>
      <w:r>
        <w:rPr>
          <w:sz w:val="22"/>
          <w:szCs w:val="22"/>
        </w:rPr>
        <w:drawing>
          <wp:anchor behindDoc="0" distT="0" distB="0" distL="133350" distR="121920" simplePos="0" locked="0" layoutInCell="1" allowOverlap="1" relativeHeight="2">
            <wp:simplePos x="0" y="0"/>
            <wp:positionH relativeFrom="column">
              <wp:posOffset>105410</wp:posOffset>
            </wp:positionH>
            <wp:positionV relativeFrom="paragraph">
              <wp:posOffset>-444500</wp:posOffset>
            </wp:positionV>
            <wp:extent cx="792480" cy="784860"/>
            <wp:effectExtent l="0" t="0" r="0" b="0"/>
            <wp:wrapNone/>
            <wp:docPr id="1" name="Εικόνα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6" descr=""/>
                    <pic:cNvPicPr>
                      <a:picLocks noChangeAspect="1" noChangeArrowheads="1"/>
                    </pic:cNvPicPr>
                  </pic:nvPicPr>
                  <pic:blipFill>
                    <a:blip r:embed="rId2"/>
                    <a:stretch>
                      <a:fillRect/>
                    </a:stretch>
                  </pic:blipFill>
                  <pic:spPr bwMode="auto">
                    <a:xfrm>
                      <a:off x="0" y="0"/>
                      <a:ext cx="792480" cy="784860"/>
                    </a:xfrm>
                    <a:prstGeom prst="rect">
                      <a:avLst/>
                    </a:prstGeom>
                  </pic:spPr>
                </pic:pic>
              </a:graphicData>
            </a:graphic>
          </wp:anchor>
        </w:drawing>
      </w:r>
    </w:p>
    <w:p>
      <w:pPr>
        <w:pStyle w:val="Style12"/>
        <w:ind w:right="-766" w:hanging="0"/>
        <w:rPr>
          <w:sz w:val="22"/>
          <w:szCs w:val="22"/>
        </w:rPr>
      </w:pPr>
      <w:r>
        <w:rPr>
          <w:sz w:val="22"/>
          <w:szCs w:val="22"/>
        </w:rPr>
      </w:r>
    </w:p>
    <w:p>
      <w:pPr>
        <w:pStyle w:val="Normal"/>
        <w:rPr>
          <w:b/>
          <w:b/>
          <w:bCs/>
          <w:sz w:val="22"/>
          <w:szCs w:val="22"/>
        </w:rPr>
      </w:pPr>
      <w:r>
        <w:rPr>
          <w:b/>
          <w:bCs/>
          <w:sz w:val="22"/>
          <w:szCs w:val="22"/>
        </w:rPr>
        <w:t>ΕΛΛΗΝΙΚΗ ΔΗΜΟΚΡΑΤΙΑ</w:t>
      </w:r>
    </w:p>
    <w:p>
      <w:pPr>
        <w:pStyle w:val="Normal"/>
        <w:rPr>
          <w:b/>
          <w:b/>
          <w:bCs/>
          <w:sz w:val="22"/>
          <w:szCs w:val="22"/>
        </w:rPr>
      </w:pPr>
      <w:r>
        <w:rPr>
          <w:b/>
          <w:bCs/>
          <w:sz w:val="22"/>
          <w:szCs w:val="22"/>
        </w:rPr>
        <w:t>ΔΗΜΟΣ ΚΕΝΤΡΙΚΗΣ ΚΕΡΚΥΡΑΣ &amp;</w:t>
      </w:r>
    </w:p>
    <w:p>
      <w:pPr>
        <w:pStyle w:val="Normal"/>
        <w:rPr>
          <w:b/>
          <w:b/>
          <w:bCs/>
          <w:sz w:val="22"/>
          <w:szCs w:val="22"/>
        </w:rPr>
      </w:pPr>
      <w:r>
        <w:rPr>
          <w:b/>
          <w:bCs/>
          <w:sz w:val="22"/>
          <w:szCs w:val="22"/>
        </w:rPr>
        <w:t xml:space="preserve"> </w:t>
      </w:r>
      <w:r>
        <w:rPr>
          <w:b/>
          <w:bCs/>
          <w:sz w:val="22"/>
          <w:szCs w:val="22"/>
        </w:rPr>
        <w:t>ΔΙΑΠΟΝΤΙΩΝ ΝΗΣΩΝ</w:t>
      </w:r>
    </w:p>
    <w:p>
      <w:pPr>
        <w:pStyle w:val="Normal"/>
        <w:rPr>
          <w:b/>
          <w:b/>
          <w:sz w:val="22"/>
          <w:szCs w:val="22"/>
        </w:rPr>
      </w:pPr>
      <w:r>
        <w:rPr>
          <w:b/>
          <w:sz w:val="22"/>
          <w:szCs w:val="22"/>
        </w:rPr>
        <w:t>ΔΙΕΥΘΥΝΣΗ ΕΠΙΧΕΙΡΗΣΙΑΚΟΥ ΕΡΓΟΥ</w:t>
      </w:r>
    </w:p>
    <w:p>
      <w:pPr>
        <w:pStyle w:val="Normal"/>
        <w:rPr>
          <w:b/>
          <w:b/>
          <w:sz w:val="22"/>
          <w:szCs w:val="22"/>
        </w:rPr>
      </w:pPr>
      <w:r>
        <w:rPr>
          <w:b/>
          <w:sz w:val="22"/>
          <w:szCs w:val="22"/>
        </w:rPr>
        <w:t xml:space="preserve">ΤΜΗΜΑ ΣΥΝΤΗΡΗΣΗΣ ΠΡΑΣΙΝΟΥ </w:t>
      </w:r>
    </w:p>
    <w:p>
      <w:pPr>
        <w:pStyle w:val="Normal"/>
        <w:rPr>
          <w:sz w:val="22"/>
          <w:szCs w:val="22"/>
        </w:rPr>
      </w:pPr>
      <w:r>
        <w:rPr>
          <w:b/>
          <w:sz w:val="22"/>
          <w:szCs w:val="22"/>
        </w:rPr>
        <w:t xml:space="preserve">ΑΡ. ΜΕΛ. </w:t>
      </w:r>
      <w:r>
        <w:rPr>
          <w:rFonts w:ascii="Tahoma" w:hAnsi="Tahoma"/>
          <w:b/>
          <w:sz w:val="22"/>
          <w:szCs w:val="22"/>
        </w:rPr>
        <w:t>∶</w:t>
      </w:r>
      <w:r>
        <w:rPr>
          <w:b/>
          <w:sz w:val="22"/>
          <w:szCs w:val="22"/>
        </w:rPr>
        <w:t>51/2024</w:t>
      </w:r>
      <w:r>
        <w:rPr>
          <w:sz w:val="22"/>
          <w:szCs w:val="22"/>
        </w:rPr>
        <w:t xml:space="preserve"> </w:t>
      </w:r>
    </w:p>
    <w:p>
      <w:pPr>
        <w:pStyle w:val="Normal"/>
        <w:rPr>
          <w:b/>
          <w:b/>
          <w:sz w:val="22"/>
          <w:szCs w:val="22"/>
        </w:rPr>
      </w:pPr>
      <w:r>
        <w:rPr>
          <w:b/>
          <w:sz w:val="22"/>
          <w:szCs w:val="22"/>
        </w:rPr>
      </w:r>
    </w:p>
    <w:p>
      <w:pPr>
        <w:pStyle w:val="Normal"/>
        <w:rPr>
          <w:b/>
          <w:b/>
          <w:sz w:val="22"/>
          <w:szCs w:val="22"/>
        </w:rPr>
      </w:pPr>
      <w:r>
        <w:rPr>
          <w:b/>
          <w:sz w:val="22"/>
          <w:szCs w:val="22"/>
        </w:rPr>
      </w:r>
    </w:p>
    <w:p>
      <w:pPr>
        <w:pStyle w:val="Normal"/>
        <w:jc w:val="center"/>
        <w:rPr>
          <w:b/>
          <w:b/>
          <w:bCs/>
          <w:sz w:val="22"/>
          <w:szCs w:val="22"/>
          <w:u w:val="single"/>
        </w:rPr>
      </w:pPr>
      <w:r>
        <w:rPr>
          <w:b/>
          <w:bCs/>
          <w:sz w:val="22"/>
          <w:szCs w:val="22"/>
          <w:u w:val="single"/>
        </w:rPr>
        <w:t>ΠΡΟΫΠΟΛΟΓΙΣΜΟΣ ΠΡΟΣΦΟΡΑΣ</w:t>
      </w:r>
    </w:p>
    <w:p>
      <w:pPr>
        <w:pStyle w:val="Normal"/>
        <w:jc w:val="center"/>
        <w:rPr>
          <w:b/>
          <w:b/>
          <w:bCs/>
          <w:sz w:val="22"/>
          <w:szCs w:val="22"/>
        </w:rPr>
      </w:pPr>
      <w:r>
        <w:rPr>
          <w:b/>
          <w:bCs/>
          <w:sz w:val="22"/>
          <w:szCs w:val="22"/>
        </w:rPr>
        <w:t>Κ.Α.  35.6262.003  «ΕΠΙΣΚΕΥΗ ΟΡΟΦΗΣ ΔΗΜΟΤΙΚΟΥ ΘΕΡΜΟΚΗΠΙΟΥ»</w:t>
      </w:r>
    </w:p>
    <w:tbl>
      <w:tblPr>
        <w:tblW w:w="5000" w:type="pct"/>
        <w:jc w:val="left"/>
        <w:tblInd w:w="0"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CellMar>
          <w:top w:w="60" w:type="dxa"/>
          <w:left w:w="60" w:type="dxa"/>
          <w:bottom w:w="60" w:type="dxa"/>
          <w:right w:w="60" w:type="dxa"/>
        </w:tblCellMar>
        <w:tblLook w:val="04a0"/>
      </w:tblPr>
      <w:tblGrid>
        <w:gridCol w:w="757"/>
        <w:gridCol w:w="4596"/>
        <w:gridCol w:w="1"/>
        <w:gridCol w:w="1422"/>
        <w:gridCol w:w="1"/>
        <w:gridCol w:w="1914"/>
        <w:gridCol w:w="1"/>
        <w:gridCol w:w="1230"/>
      </w:tblGrid>
      <w:tr>
        <w:trPr/>
        <w:tc>
          <w:tcPr>
            <w:tcW w:w="757"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bCs/>
                <w:sz w:val="22"/>
                <w:szCs w:val="22"/>
              </w:rPr>
              <w:t>Α/Α</w:t>
            </w:r>
          </w:p>
        </w:tc>
        <w:tc>
          <w:tcPr>
            <w:tcW w:w="4597"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ΠΕΡΙΓΡΑΦΗ</w:t>
            </w:r>
          </w:p>
          <w:p>
            <w:pPr>
              <w:pStyle w:val="Normal"/>
              <w:spacing w:beforeAutospacing="1" w:after="0"/>
              <w:jc w:val="center"/>
              <w:rPr>
                <w:b/>
                <w:b/>
                <w:sz w:val="22"/>
                <w:szCs w:val="22"/>
              </w:rPr>
            </w:pPr>
            <w:r>
              <w:rPr>
                <w:b/>
                <w:sz w:val="22"/>
                <w:szCs w:val="22"/>
                <w:lang w:val="en-US"/>
              </w:rPr>
              <w:t>CPV</w:t>
            </w:r>
            <w:r>
              <w:rPr>
                <w:b/>
                <w:sz w:val="22"/>
                <w:szCs w:val="22"/>
              </w:rPr>
              <w:t xml:space="preserve">  50800000-3</w:t>
            </w:r>
          </w:p>
        </w:tc>
        <w:tc>
          <w:tcPr>
            <w:tcW w:w="1423"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ΤΙΜΗ ΜΟΝΑΔΟΣ (Ευρώ)</w:t>
            </w:r>
          </w:p>
        </w:tc>
        <w:tc>
          <w:tcPr>
            <w:tcW w:w="1915"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ΤΙΜΗ  ΠΡΟΣΦΟΡΑΣ</w:t>
            </w:r>
          </w:p>
          <w:p>
            <w:pPr>
              <w:pStyle w:val="Normal"/>
              <w:jc w:val="center"/>
              <w:rPr>
                <w:b/>
                <w:b/>
                <w:sz w:val="22"/>
                <w:szCs w:val="22"/>
              </w:rPr>
            </w:pPr>
            <w:r>
              <w:rPr>
                <w:b/>
                <w:sz w:val="22"/>
                <w:szCs w:val="22"/>
              </w:rPr>
              <w:t>(Ευρώ)</w:t>
            </w:r>
          </w:p>
        </w:tc>
        <w:tc>
          <w:tcPr>
            <w:tcW w:w="1230"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 xml:space="preserve">ΔΑΠΑΝΗ </w:t>
            </w:r>
          </w:p>
          <w:p>
            <w:pPr>
              <w:pStyle w:val="Normal"/>
              <w:jc w:val="center"/>
              <w:rPr>
                <w:b/>
                <w:b/>
                <w:sz w:val="22"/>
                <w:szCs w:val="22"/>
              </w:rPr>
            </w:pPr>
            <w:r>
              <w:rPr>
                <w:b/>
                <w:sz w:val="22"/>
                <w:szCs w:val="22"/>
              </w:rPr>
              <w:t>(Ευρώ)</w:t>
            </w:r>
          </w:p>
        </w:tc>
      </w:tr>
      <w:tr>
        <w:trPr/>
        <w:tc>
          <w:tcPr>
            <w:tcW w:w="757"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sz w:val="22"/>
                <w:szCs w:val="22"/>
              </w:rPr>
            </w:pPr>
            <w:r>
              <w:rPr>
                <w:sz w:val="22"/>
                <w:szCs w:val="22"/>
              </w:rPr>
              <w:t>1</w:t>
            </w:r>
          </w:p>
        </w:tc>
        <w:tc>
          <w:tcPr>
            <w:tcW w:w="4597"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jc w:val="both"/>
              <w:rPr>
                <w:sz w:val="22"/>
                <w:szCs w:val="22"/>
              </w:rPr>
            </w:pPr>
            <w:r>
              <w:rPr>
                <w:sz w:val="22"/>
                <w:szCs w:val="22"/>
              </w:rPr>
              <w:t>Επισκευή οροφής θερμοκηπίου:</w:t>
            </w:r>
          </w:p>
          <w:p>
            <w:pPr>
              <w:pStyle w:val="Normal"/>
              <w:jc w:val="both"/>
              <w:rPr>
                <w:sz w:val="22"/>
                <w:szCs w:val="22"/>
              </w:rPr>
            </w:pPr>
            <w:r>
              <w:rPr>
                <w:sz w:val="22"/>
                <w:szCs w:val="22"/>
              </w:rPr>
              <w:t>Τα υλικά τα οποία απαιτούνται, είναι για το εξωτερικό νάιλον, το οποίο είναι ειδικό για θερμοκήπιο, τύπου Πλαστικών Κρήτης (3992) και διαστάσεων 9,5 μέτρων πλάτους και 35 μέτρων μήκους, δύο ρολά, συνολικού εμβαδού 665τ.μ. και για το εσωτερικό νάιλον, ειδικό για θερμοκήπιο, τύπου Πλαστικών Κρήτης (2996) και διαστάσεων 9,5 μέτρων πλάτους και 35 μέτρων μήκους, δύο ρολά, συνολικού εμβαδού 665τ.μ. Επίσης χρειάζεται μια καινούργια αεραντλία για αντικατάσταση της παλιάς, που θα τοποθετηθεί για να φουσκώνει το νάιλον, όταν απαιτείται .</w:t>
            </w:r>
          </w:p>
          <w:p>
            <w:pPr>
              <w:pStyle w:val="Normal"/>
              <w:jc w:val="both"/>
              <w:rPr>
                <w:sz w:val="22"/>
                <w:szCs w:val="22"/>
                <w:lang w:val="en-US"/>
              </w:rPr>
            </w:pPr>
            <w:r>
              <w:rPr>
                <w:sz w:val="22"/>
                <w:szCs w:val="22"/>
              </w:rPr>
              <w:t>Η επισκευή αυτή απαιτείται να γίνει από εξειδικευμένο συνεργείο κατασκευής θερμοκηπίων, που ασχολείται και κατέχει την τεχνογνωσία των ανωτέρω εργασιών. Το συνεργείο αυτό αποτελείται από τέσσερις (4) εξειδικευμένους τεχνίτες</w:t>
            </w:r>
            <w:r>
              <w:rPr>
                <w:sz w:val="22"/>
                <w:szCs w:val="22"/>
                <w:lang w:val="en-US"/>
              </w:rPr>
              <w:t>.</w:t>
            </w:r>
          </w:p>
        </w:tc>
        <w:tc>
          <w:tcPr>
            <w:tcW w:w="1423"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sz w:val="22"/>
                <w:szCs w:val="22"/>
              </w:rPr>
            </w:pPr>
            <w:r>
              <w:rPr>
                <w:sz w:val="22"/>
                <w:szCs w:val="22"/>
              </w:rPr>
              <w:t>5.500,00</w:t>
            </w:r>
          </w:p>
        </w:tc>
        <w:tc>
          <w:tcPr>
            <w:tcW w:w="1915"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sz w:val="22"/>
                <w:szCs w:val="22"/>
              </w:rPr>
            </w:pPr>
            <w:r>
              <w:rPr>
                <w:sz w:val="22"/>
                <w:szCs w:val="22"/>
              </w:rPr>
            </w:r>
          </w:p>
        </w:tc>
        <w:tc>
          <w:tcPr>
            <w:tcW w:w="1230"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sz w:val="22"/>
                <w:szCs w:val="22"/>
              </w:rPr>
            </w:pPr>
            <w:r>
              <w:rPr>
                <w:sz w:val="22"/>
                <w:szCs w:val="22"/>
              </w:rPr>
            </w:r>
          </w:p>
        </w:tc>
      </w:tr>
      <w:tr>
        <w:trPr/>
        <w:tc>
          <w:tcPr>
            <w:tcW w:w="5353"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 xml:space="preserve">Σύνολο καθαρής αξίας  </w:t>
            </w:r>
          </w:p>
        </w:tc>
        <w:tc>
          <w:tcPr>
            <w:tcW w:w="1423"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5.500,00</w:t>
            </w:r>
          </w:p>
        </w:tc>
        <w:tc>
          <w:tcPr>
            <w:tcW w:w="1915"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r>
          </w:p>
        </w:tc>
        <w:tc>
          <w:tcPr>
            <w:tcW w:w="123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r>
          </w:p>
        </w:tc>
      </w:tr>
      <w:tr>
        <w:trPr/>
        <w:tc>
          <w:tcPr>
            <w:tcW w:w="5353"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ΦΠΑ 24%</w:t>
            </w:r>
          </w:p>
        </w:tc>
        <w:tc>
          <w:tcPr>
            <w:tcW w:w="1423"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1.320,00</w:t>
            </w:r>
          </w:p>
        </w:tc>
        <w:tc>
          <w:tcPr>
            <w:tcW w:w="1915"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r>
          </w:p>
        </w:tc>
        <w:tc>
          <w:tcPr>
            <w:tcW w:w="123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r>
          </w:p>
        </w:tc>
      </w:tr>
      <w:tr>
        <w:trPr/>
        <w:tc>
          <w:tcPr>
            <w:tcW w:w="5353"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 xml:space="preserve">Γενικό σύνολο δαπάνης </w:t>
            </w:r>
          </w:p>
        </w:tc>
        <w:tc>
          <w:tcPr>
            <w:tcW w:w="1423"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sz w:val="22"/>
                <w:szCs w:val="22"/>
              </w:rPr>
            </w:pPr>
            <w:r>
              <w:rPr>
                <w:b/>
                <w:sz w:val="22"/>
                <w:szCs w:val="22"/>
              </w:rPr>
              <w:t>6.820,00</w:t>
            </w:r>
          </w:p>
        </w:tc>
        <w:tc>
          <w:tcPr>
            <w:tcW w:w="1915"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sz w:val="22"/>
                <w:szCs w:val="22"/>
              </w:rPr>
            </w:pPr>
            <w:r>
              <w:rPr>
                <w:b/>
                <w:sz w:val="22"/>
                <w:szCs w:val="22"/>
              </w:rPr>
            </w:r>
          </w:p>
        </w:tc>
        <w:tc>
          <w:tcPr>
            <w:tcW w:w="123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sz w:val="22"/>
                <w:szCs w:val="22"/>
              </w:rPr>
            </w:pPr>
            <w:r>
              <w:rPr>
                <w:b/>
                <w:sz w:val="22"/>
                <w:szCs w:val="22"/>
              </w:rPr>
              <w:t xml:space="preserve">     </w:t>
            </w:r>
          </w:p>
        </w:tc>
      </w:tr>
    </w:tbl>
    <w:p>
      <w:pPr>
        <w:pStyle w:val="Normal"/>
        <w:jc w:val="both"/>
        <w:rPr>
          <w:b/>
          <w:b/>
          <w:sz w:val="22"/>
          <w:szCs w:val="22"/>
        </w:rPr>
      </w:pPr>
      <w:r>
        <w:rPr>
          <w:b/>
          <w:sz w:val="22"/>
          <w:szCs w:val="22"/>
        </w:rPr>
      </w:r>
    </w:p>
    <w:p>
      <w:pPr>
        <w:pStyle w:val="Style12"/>
        <w:ind w:right="-766" w:hanging="0"/>
        <w:rPr>
          <w:b/>
          <w:b/>
          <w:bCs/>
          <w:iCs/>
          <w:sz w:val="22"/>
          <w:szCs w:val="22"/>
        </w:rPr>
      </w:pPr>
      <w:r>
        <w:rPr>
          <w:b/>
          <w:bCs/>
          <w:iCs/>
          <w:sz w:val="22"/>
          <w:szCs w:val="22"/>
        </w:rPr>
      </w:r>
    </w:p>
    <w:p>
      <w:pPr>
        <w:pStyle w:val="Normal"/>
        <w:spacing w:lineRule="auto" w:line="276"/>
        <w:jc w:val="center"/>
        <w:rPr>
          <w:b/>
          <w:b/>
          <w:sz w:val="22"/>
          <w:szCs w:val="22"/>
        </w:rPr>
      </w:pPr>
      <w:r>
        <w:rPr>
          <w:b/>
          <w:sz w:val="22"/>
          <w:szCs w:val="22"/>
        </w:rPr>
        <w:t xml:space="preserve">                                                                        </w:t>
      </w:r>
      <w:r>
        <w:rPr>
          <w:b/>
          <w:sz w:val="22"/>
          <w:szCs w:val="22"/>
        </w:rPr>
        <w:t>Κέρκυρα --/--/2024</w:t>
      </w:r>
    </w:p>
    <w:p>
      <w:pPr>
        <w:pStyle w:val="Normal"/>
        <w:spacing w:lineRule="auto" w:line="276"/>
        <w:jc w:val="center"/>
        <w:rPr>
          <w:b/>
          <w:b/>
          <w:sz w:val="22"/>
          <w:szCs w:val="22"/>
        </w:rPr>
      </w:pPr>
      <w:r>
        <w:rPr>
          <w:b/>
          <w:sz w:val="22"/>
          <w:szCs w:val="22"/>
        </w:rPr>
      </w:r>
    </w:p>
    <w:p>
      <w:pPr>
        <w:pStyle w:val="Style12"/>
        <w:rPr/>
      </w:pPr>
      <w:r>
        <w:rPr>
          <w:b/>
          <w:sz w:val="22"/>
          <w:szCs w:val="22"/>
        </w:rPr>
        <w:t xml:space="preserve">                                                                                                              </w:t>
      </w:r>
    </w:p>
    <w:p>
      <w:pPr>
        <w:pStyle w:val="Style12"/>
        <w:rPr/>
      </w:pPr>
      <w:r>
        <w:rPr>
          <w:b/>
          <w:sz w:val="22"/>
          <w:szCs w:val="22"/>
        </w:rPr>
        <w:t xml:space="preserve">                                                                                                                </w:t>
      </w:r>
      <w:r>
        <w:rPr>
          <w:b/>
          <w:sz w:val="22"/>
          <w:szCs w:val="22"/>
        </w:rPr>
        <w:t>Ο  ΠΡΟΣΦΕΡΩΝ</w:t>
      </w:r>
    </w:p>
    <w:sectPr>
      <w:type w:val="nextPage"/>
      <w:pgSz w:w="11906" w:h="16838"/>
      <w:pgMar w:left="1077" w:right="907" w:header="0" w:top="1304" w:footer="0" w:bottom="130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Times New Roman">
    <w:charset w:val="a1"/>
    <w:family w:val="roman"/>
    <w:pitch w:val="variable"/>
  </w:font>
  <w:font w:name="Cambria">
    <w:charset w:val="a1"/>
    <w:family w:val="roman"/>
    <w:pitch w:val="variable"/>
  </w:font>
  <w:font w:name="Liberation Sans">
    <w:altName w:val="Arial"/>
    <w:charset w:val="a1"/>
    <w:family w:val="swiss"/>
    <w:pitch w:val="variable"/>
  </w:font>
  <w:font w:name="Calibri">
    <w:charset w:val="a1"/>
    <w:family w:val="roman"/>
    <w:pitch w:val="variable"/>
  </w:font>
  <w:font w:name="Tahoma">
    <w:charset w:val="a1"/>
    <w:family w:val="roman"/>
    <w:pitch w:val="variable"/>
  </w:font>
</w:fonts>
</file>

<file path=word/settings.xml><?xml version="1.0" encoding="utf-8"?>
<w:settings xmlns:w="http://schemas.openxmlformats.org/wordprocessingml/2006/main">
  <w:zoom w:percent="120"/>
  <w:defaultTabStop w:val="720"/>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l-G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561ad"/>
    <w:pPr>
      <w:widowControl/>
      <w:bidi w:val="0"/>
      <w:jc w:val="left"/>
    </w:pPr>
    <w:rPr>
      <w:rFonts w:ascii="Times New Roman" w:hAnsi="Times New Roman" w:eastAsia="Times New Roman" w:cs="Times New Roman"/>
      <w:color w:val="auto"/>
      <w:kern w:val="0"/>
      <w:sz w:val="24"/>
      <w:szCs w:val="24"/>
      <w:lang w:val="el-GR" w:eastAsia="el-GR" w:bidi="ar-SA"/>
    </w:rPr>
  </w:style>
  <w:style w:type="paragraph" w:styleId="1">
    <w:name w:val="Heading 1"/>
    <w:basedOn w:val="Normal"/>
    <w:next w:val="Normal"/>
    <w:link w:val="1Char"/>
    <w:qFormat/>
    <w:rsid w:val="009561ad"/>
    <w:pPr>
      <w:keepNext w:val="true"/>
      <w:outlineLvl w:val="0"/>
    </w:pPr>
    <w:rPr>
      <w:b/>
      <w:bCs/>
      <w:sz w:val="20"/>
    </w:rPr>
  </w:style>
  <w:style w:type="paragraph" w:styleId="2">
    <w:name w:val="Heading 2"/>
    <w:basedOn w:val="Normal"/>
    <w:next w:val="Normal"/>
    <w:link w:val="2Char"/>
    <w:qFormat/>
    <w:rsid w:val="009561ad"/>
    <w:pPr>
      <w:keepNext w:val="true"/>
      <w:pBdr>
        <w:top w:val="single" w:sz="4" w:space="1" w:color="000000"/>
        <w:left w:val="single" w:sz="4" w:space="4" w:color="000000"/>
        <w:bottom w:val="single" w:sz="4" w:space="1" w:color="000000"/>
        <w:right w:val="single" w:sz="4" w:space="4" w:color="000000"/>
      </w:pBdr>
      <w:jc w:val="center"/>
      <w:outlineLvl w:val="1"/>
    </w:pPr>
    <w:rPr>
      <w:b/>
      <w:bCs/>
      <w:sz w:val="36"/>
    </w:rPr>
  </w:style>
  <w:style w:type="paragraph" w:styleId="3">
    <w:name w:val="Heading 3"/>
    <w:basedOn w:val="Normal"/>
    <w:next w:val="Normal"/>
    <w:link w:val="3Char"/>
    <w:uiPriority w:val="9"/>
    <w:unhideWhenUsed/>
    <w:qFormat/>
    <w:rsid w:val="007376f4"/>
    <w:pPr>
      <w:keepNext w:val="true"/>
      <w:keepLines/>
      <w:spacing w:before="200" w:after="0"/>
      <w:outlineLvl w:val="2"/>
    </w:pPr>
    <w:rPr>
      <w:rFonts w:ascii="Cambria" w:hAnsi="Cambria"/>
      <w:b/>
      <w:bCs/>
      <w:color w:val="4F81BD"/>
    </w:rPr>
  </w:style>
  <w:style w:type="character" w:styleId="DefaultParagraphFont" w:default="1">
    <w:name w:val="Default Paragraph Font"/>
    <w:uiPriority w:val="1"/>
    <w:semiHidden/>
    <w:unhideWhenUsed/>
    <w:qFormat/>
    <w:rPr/>
  </w:style>
  <w:style w:type="character" w:styleId="1Char" w:customStyle="1">
    <w:name w:val="Επικεφαλίδα 1 Char"/>
    <w:basedOn w:val="DefaultParagraphFont"/>
    <w:link w:val="1"/>
    <w:qFormat/>
    <w:rsid w:val="00e778a5"/>
    <w:rPr>
      <w:b/>
      <w:bCs/>
      <w:szCs w:val="24"/>
    </w:rPr>
  </w:style>
  <w:style w:type="character" w:styleId="3Char" w:customStyle="1">
    <w:name w:val="Επικεφαλίδα 3 Char"/>
    <w:basedOn w:val="DefaultParagraphFont"/>
    <w:link w:val="3"/>
    <w:uiPriority w:val="9"/>
    <w:qFormat/>
    <w:rsid w:val="007376f4"/>
    <w:rPr>
      <w:rFonts w:ascii="Cambria" w:hAnsi="Cambria" w:eastAsia="Times New Roman" w:cs="Times New Roman"/>
      <w:b/>
      <w:bCs/>
      <w:color w:val="4F81BD"/>
      <w:sz w:val="24"/>
      <w:szCs w:val="24"/>
    </w:rPr>
  </w:style>
  <w:style w:type="character" w:styleId="2Char" w:customStyle="1">
    <w:name w:val="Επικεφαλίδα 2 Char"/>
    <w:basedOn w:val="DefaultParagraphFont"/>
    <w:link w:val="2"/>
    <w:qFormat/>
    <w:rsid w:val="007376f4"/>
    <w:rPr>
      <w:b/>
      <w:bCs/>
      <w:sz w:val="36"/>
      <w:szCs w:val="24"/>
    </w:rPr>
  </w:style>
  <w:style w:type="character" w:styleId="3Char1" w:customStyle="1">
    <w:name w:val="Σώμα κείμενου με εσοχή 3 Char"/>
    <w:basedOn w:val="DefaultParagraphFont"/>
    <w:link w:val="30"/>
    <w:uiPriority w:val="99"/>
    <w:qFormat/>
    <w:rsid w:val="007376f4"/>
    <w:rPr>
      <w:sz w:val="16"/>
      <w:szCs w:val="16"/>
    </w:rPr>
  </w:style>
  <w:style w:type="character" w:styleId="Strong">
    <w:name w:val="Strong"/>
    <w:basedOn w:val="DefaultParagraphFont"/>
    <w:uiPriority w:val="22"/>
    <w:qFormat/>
    <w:rsid w:val="007376f4"/>
    <w:rPr>
      <w:b/>
      <w:bCs/>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paragraph" w:styleId="Style11">
    <w:name w:val="Επικεφαλίδα"/>
    <w:basedOn w:val="Normal"/>
    <w:next w:val="Style12"/>
    <w:qFormat/>
    <w:pPr>
      <w:keepNext w:val="true"/>
      <w:spacing w:before="240" w:after="120"/>
    </w:pPr>
    <w:rPr>
      <w:rFonts w:ascii="Liberation Sans" w:hAnsi="Liberation Sans" w:eastAsia="Microsoft YaHei" w:cs="Arial"/>
      <w:sz w:val="28"/>
      <w:szCs w:val="28"/>
    </w:rPr>
  </w:style>
  <w:style w:type="paragraph" w:styleId="Style12">
    <w:name w:val="Body Text"/>
    <w:basedOn w:val="Normal"/>
    <w:semiHidden/>
    <w:rsid w:val="009561ad"/>
    <w:pPr>
      <w:jc w:val="both"/>
    </w:pPr>
    <w:rPr/>
  </w:style>
  <w:style w:type="paragraph" w:styleId="Style13">
    <w:name w:val="List"/>
    <w:basedOn w:val="Style12"/>
    <w:pPr/>
    <w:rPr>
      <w:rFonts w:cs="Arial"/>
    </w:rPr>
  </w:style>
  <w:style w:type="paragraph" w:styleId="Style14">
    <w:name w:val="Caption"/>
    <w:basedOn w:val="Normal"/>
    <w:qFormat/>
    <w:pPr>
      <w:suppressLineNumbers/>
      <w:spacing w:before="120" w:after="120"/>
    </w:pPr>
    <w:rPr>
      <w:rFonts w:cs="Arial"/>
      <w:i/>
      <w:iCs/>
      <w:sz w:val="24"/>
      <w:szCs w:val="24"/>
    </w:rPr>
  </w:style>
  <w:style w:type="paragraph" w:styleId="Style15">
    <w:name w:val="Ευρετήριο"/>
    <w:basedOn w:val="Normal"/>
    <w:qFormat/>
    <w:pPr>
      <w:suppressLineNumbers/>
    </w:pPr>
    <w:rPr>
      <w:rFonts w:cs="Arial"/>
    </w:rPr>
  </w:style>
  <w:style w:type="paragraph" w:styleId="ListParagraph">
    <w:name w:val="List Paragraph"/>
    <w:basedOn w:val="Normal"/>
    <w:uiPriority w:val="34"/>
    <w:qFormat/>
    <w:rsid w:val="00a53a9d"/>
    <w:pPr>
      <w:spacing w:lineRule="auto" w:line="276" w:before="0" w:after="200"/>
      <w:ind w:left="720" w:hanging="0"/>
      <w:contextualSpacing/>
    </w:pPr>
    <w:rPr>
      <w:rFonts w:ascii="Calibri" w:hAnsi="Calibri"/>
      <w:sz w:val="22"/>
      <w:szCs w:val="22"/>
    </w:rPr>
  </w:style>
  <w:style w:type="paragraph" w:styleId="BodyTextIndent3">
    <w:name w:val="Body Text Indent 3"/>
    <w:basedOn w:val="Normal"/>
    <w:link w:val="3Char0"/>
    <w:uiPriority w:val="99"/>
    <w:unhideWhenUsed/>
    <w:qFormat/>
    <w:rsid w:val="007376f4"/>
    <w:pPr>
      <w:spacing w:before="0" w:after="120"/>
      <w:ind w:left="283" w:hanging="0"/>
    </w:pPr>
    <w:rPr>
      <w:sz w:val="16"/>
      <w:szCs w:val="16"/>
    </w:rPr>
  </w:style>
  <w:style w:type="paragraph" w:styleId="Yiv9060283497" w:customStyle="1">
    <w:name w:val="yiv9060283497"/>
    <w:basedOn w:val="Normal"/>
    <w:qFormat/>
    <w:rsid w:val="007376f4"/>
    <w:pPr>
      <w:spacing w:beforeAutospacing="1" w:afterAutospacing="1"/>
    </w:pPr>
    <w:rPr/>
  </w:style>
  <w:style w:type="paragraph" w:styleId="NormalWeb">
    <w:name w:val="Normal (Web)"/>
    <w:basedOn w:val="Normal"/>
    <w:uiPriority w:val="99"/>
    <w:unhideWhenUsed/>
    <w:qFormat/>
    <w:rsid w:val="007376f4"/>
    <w:pPr>
      <w:spacing w:beforeAutospacing="1" w:afterAutospacing="1"/>
    </w:pPr>
    <w:rPr/>
  </w:style>
  <w:style w:type="paragraph" w:styleId="NoSpacing">
    <w:name w:val="No Spacing"/>
    <w:uiPriority w:val="1"/>
    <w:qFormat/>
    <w:rsid w:val="007376f4"/>
    <w:pPr>
      <w:widowControl/>
      <w:bidi w:val="0"/>
      <w:jc w:val="left"/>
    </w:pPr>
    <w:rPr>
      <w:rFonts w:ascii="Times New Roman" w:hAnsi="Times New Roman" w:eastAsia="Times New Roman" w:cs="Times New Roman"/>
      <w:color w:val="00000A"/>
      <w:kern w:val="0"/>
      <w:sz w:val="24"/>
      <w:szCs w:val="24"/>
      <w:lang w:val="el-GR" w:eastAsia="el-GR"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Application>LibreOffice/6.1.6.3$Windows_X86_64 LibreOffice_project/5896ab1714085361c45cf540f76f60673dd96a72</Application>
  <Pages>1</Pages>
  <Words>168</Words>
  <Characters>1049</Characters>
  <CharactersWithSpaces>1387</CharactersWithSpaces>
  <Paragraphs>31</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2024-10-31T09:22:00Z</dcterms:created>
  <dc:creator>.</dc:creator>
  <dc:description/>
  <dc:language>el-GR</dc:language>
  <cp:lastModifiedBy/>
  <cp:lastPrinted>2017-05-08T16:38:00Z</cp:lastPrinted>
  <dcterms:modified xsi:type="dcterms:W3CDTF">2024-11-15T11:24:41Z</dcterms:modified>
  <cp:revision>16</cp:revision>
  <dc:subject/>
  <dc:title>ΔΗΜΟΣ  ΚΕΡΚΥΡΑΙΩΝ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