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5A" w:rsidRPr="00384D3D" w:rsidRDefault="00F4535A" w:rsidP="00F4535A">
      <w:pPr>
        <w:pStyle w:val="2"/>
        <w:rPr>
          <w:lang w:val="el-GR"/>
        </w:rPr>
      </w:pPr>
      <w:bookmarkStart w:id="0" w:name="_Toc112403439"/>
      <w:r w:rsidRPr="00384D3D">
        <w:rPr>
          <w:rFonts w:ascii="Calibri" w:hAnsi="Calibri"/>
          <w:lang w:val="el-GR"/>
        </w:rPr>
        <w:t>ΠΑΡΑΡΤΗΜΑ Ι</w:t>
      </w:r>
      <w:r>
        <w:rPr>
          <w:rFonts w:ascii="Calibri" w:hAnsi="Calibri"/>
        </w:rPr>
        <w:t>V</w:t>
      </w:r>
      <w:r w:rsidRPr="00384D3D">
        <w:rPr>
          <w:rFonts w:ascii="Calibri" w:hAnsi="Calibri"/>
          <w:lang w:val="el-GR"/>
        </w:rPr>
        <w:t xml:space="preserve"> – </w:t>
      </w:r>
      <w:r w:rsidRPr="00384D3D">
        <w:rPr>
          <w:lang w:val="el-GR"/>
        </w:rPr>
        <w:t>Υπόδειγμα Οικονομικής Προσφοράς</w:t>
      </w:r>
      <w:bookmarkEnd w:id="0"/>
    </w:p>
    <w:p w:rsidR="00F4535A" w:rsidRDefault="00F4535A" w:rsidP="00F4535A">
      <w:r>
        <w:rPr>
          <w:noProof/>
        </w:rPr>
        <w:drawing>
          <wp:inline distT="0" distB="0" distL="0" distR="0">
            <wp:extent cx="514985" cy="46672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jc w:val="center"/>
        <w:tblInd w:w="108" w:type="dxa"/>
        <w:tblLayout w:type="fixed"/>
        <w:tblLook w:val="0000"/>
      </w:tblPr>
      <w:tblGrid>
        <w:gridCol w:w="4666"/>
        <w:gridCol w:w="850"/>
        <w:gridCol w:w="1418"/>
        <w:gridCol w:w="1417"/>
        <w:gridCol w:w="1261"/>
        <w:gridCol w:w="568"/>
      </w:tblGrid>
      <w:tr w:rsidR="00F4535A" w:rsidRPr="00E95025" w:rsidTr="00FF07C3">
        <w:trPr>
          <w:trHeight w:val="315"/>
          <w:jc w:val="center"/>
        </w:trPr>
        <w:tc>
          <w:tcPr>
            <w:tcW w:w="4666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  <w:r w:rsidRPr="001A25DB">
              <w:rPr>
                <w:rFonts w:cs="Courier New"/>
                <w:b/>
                <w:bCs/>
                <w:color w:val="000000"/>
                <w:sz w:val="20"/>
                <w:szCs w:val="20"/>
              </w:rPr>
              <w:t>ΕΛΛΗΝΙΚΗ  ΔΗΜΟΚΡΑΤΙΑ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535A" w:rsidRPr="00E95025" w:rsidTr="00FF07C3">
        <w:trPr>
          <w:trHeight w:val="315"/>
          <w:jc w:val="center"/>
        </w:trPr>
        <w:tc>
          <w:tcPr>
            <w:tcW w:w="9612" w:type="dxa"/>
            <w:gridSpan w:val="5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  <w:r w:rsidRPr="001A25DB">
              <w:rPr>
                <w:rFonts w:cs="Courier New"/>
                <w:b/>
                <w:bCs/>
                <w:color w:val="000000"/>
                <w:sz w:val="20"/>
                <w:szCs w:val="20"/>
              </w:rPr>
              <w:t>ΔΗΜΟΣ  ΚΕΝΤΡΙΚΗΣ ΚΕΡΚΥΡΑΣ &amp; ΔΙΑΠΟΝΤΙΩΝ ΝΗΣΩΝ</w:t>
            </w: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535A" w:rsidRPr="00E95025" w:rsidTr="00FF07C3">
        <w:trPr>
          <w:trHeight w:val="315"/>
          <w:jc w:val="center"/>
        </w:trPr>
        <w:tc>
          <w:tcPr>
            <w:tcW w:w="5516" w:type="dxa"/>
            <w:gridSpan w:val="2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Courier New"/>
                <w:b/>
                <w:bCs/>
                <w:color w:val="000000"/>
                <w:sz w:val="20"/>
                <w:szCs w:val="20"/>
              </w:rPr>
            </w:pPr>
            <w:r w:rsidRPr="001A25DB">
              <w:rPr>
                <w:rFonts w:cs="Courier New"/>
                <w:b/>
                <w:bCs/>
                <w:color w:val="000000"/>
                <w:sz w:val="20"/>
                <w:szCs w:val="20"/>
              </w:rPr>
              <w:t>Δ/ΝΣΗ  ΕΠΙΧΕΙΡΗΣΙΑΚΟΥ  ΕΡΓΟΥ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F4535A" w:rsidRPr="001A25DB" w:rsidRDefault="00F4535A" w:rsidP="00FF07C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535A" w:rsidRPr="006B1C15" w:rsidTr="00FF07C3">
        <w:trPr>
          <w:trHeight w:val="1198"/>
          <w:jc w:val="center"/>
        </w:trPr>
        <w:tc>
          <w:tcPr>
            <w:tcW w:w="10180" w:type="dxa"/>
            <w:gridSpan w:val="6"/>
            <w:shd w:val="clear" w:color="auto" w:fill="auto"/>
            <w:noWrap/>
            <w:vAlign w:val="center"/>
          </w:tcPr>
          <w:p w:rsidR="00F4535A" w:rsidRPr="006B1C15" w:rsidRDefault="00F4535A" w:rsidP="00FF07C3">
            <w:pPr>
              <w:spacing w:after="0"/>
              <w:jc w:val="center"/>
              <w:rPr>
                <w:rFonts w:cs="Courier New"/>
                <w:b/>
                <w:bCs/>
                <w:i/>
                <w:color w:val="000000"/>
                <w:sz w:val="24"/>
              </w:rPr>
            </w:pP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>«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ΚΑΜΠΑΝΙΑ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ΠΡΟΚΑΤΑΡΚΤΙΚΗΣ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ΕΝΗΜΕΡΩΣΗΣ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&amp;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ΕΥΑΙΣΘΗΤΟΠΟΙΗΣΗΣ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ΓΙΑ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ΤΗΝ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ΟΡΘΗ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ΔΙΑΧΕΙΡΙΣΗ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ΤΩΝ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ΑΠΟΡΡΙΜΜΑΤΩΝ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ΜΕΣΩ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ΤΗΣ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ΔΙΑΛΟΓΗΣ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ΣΤΗΝ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ΠΗΓΗ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,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ΕΠΑΝΑΧΡΗΣΙΜΟΠΟΙΗΣΗΣ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&amp;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ΚΟΜΠΟΣΤΟΠΟΙΗΣΗΣ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ΔΗΜΟΥ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>
              <w:rPr>
                <w:rFonts w:cs="Courier New"/>
                <w:b/>
                <w:bCs/>
                <w:i/>
                <w:color w:val="000000"/>
                <w:sz w:val="24"/>
              </w:rPr>
              <w:t>ΚΕΝΤΡΙΚΗΣ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 w:rsidRPr="007D5ADE">
              <w:rPr>
                <w:rFonts w:cs="Courier New"/>
                <w:b/>
                <w:bCs/>
                <w:i/>
                <w:color w:val="000000"/>
                <w:sz w:val="24"/>
              </w:rPr>
              <w:t>ΚΕΡΚΥΡΑΣ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&amp; </w:t>
            </w:r>
            <w:r>
              <w:rPr>
                <w:rFonts w:cs="Courier New"/>
                <w:b/>
                <w:bCs/>
                <w:i/>
                <w:color w:val="000000"/>
                <w:sz w:val="24"/>
              </w:rPr>
              <w:t>ΔΙΑΠΟΝΤΙΩΝ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 xml:space="preserve"> </w:t>
            </w:r>
            <w:r>
              <w:rPr>
                <w:rFonts w:cs="Courier New"/>
                <w:b/>
                <w:bCs/>
                <w:i/>
                <w:color w:val="000000"/>
                <w:sz w:val="24"/>
              </w:rPr>
              <w:t>ΝΗΣΩΝ</w:t>
            </w:r>
            <w:r w:rsidRPr="006B1C15">
              <w:rPr>
                <w:rFonts w:cs="Courier New"/>
                <w:b/>
                <w:bCs/>
                <w:i/>
                <w:color w:val="000000"/>
                <w:sz w:val="24"/>
              </w:rPr>
              <w:t>»</w:t>
            </w:r>
          </w:p>
        </w:tc>
      </w:tr>
      <w:tr w:rsidR="00F4535A" w:rsidRPr="006B1C15" w:rsidTr="00FF07C3">
        <w:trPr>
          <w:trHeight w:val="138"/>
          <w:jc w:val="center"/>
        </w:trPr>
        <w:tc>
          <w:tcPr>
            <w:tcW w:w="10180" w:type="dxa"/>
            <w:gridSpan w:val="6"/>
            <w:shd w:val="clear" w:color="auto" w:fill="auto"/>
          </w:tcPr>
          <w:p w:rsidR="00F4535A" w:rsidRPr="006B1C15" w:rsidRDefault="00F4535A" w:rsidP="00FF07C3">
            <w:pPr>
              <w:spacing w:after="0"/>
              <w:jc w:val="center"/>
              <w:rPr>
                <w:rFonts w:cs="Courier New"/>
                <w:b/>
                <w:bCs/>
                <w:i/>
                <w:color w:val="000000"/>
                <w:sz w:val="24"/>
              </w:rPr>
            </w:pPr>
          </w:p>
        </w:tc>
      </w:tr>
      <w:tr w:rsidR="00F4535A" w:rsidRPr="00BF180C" w:rsidTr="00FF07C3">
        <w:trPr>
          <w:trHeight w:val="138"/>
          <w:jc w:val="center"/>
        </w:trPr>
        <w:tc>
          <w:tcPr>
            <w:tcW w:w="10180" w:type="dxa"/>
            <w:gridSpan w:val="6"/>
            <w:shd w:val="clear" w:color="auto" w:fill="auto"/>
          </w:tcPr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Στοιχεία οικονομικού φορέα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Επωνυμία…………………………………………….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ΑΦΜ…………………………………………………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ΔΟΥ………………………………………………….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Διεύθυνση……………………………………………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proofErr w:type="spellStart"/>
            <w:r w:rsidRPr="00103D9B">
              <w:t>Τηλ</w:t>
            </w:r>
            <w:proofErr w:type="spellEnd"/>
            <w:r w:rsidRPr="00103D9B">
              <w:t>…………………………………………………...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FAX..………………………………………………...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proofErr w:type="spellStart"/>
            <w:r w:rsidRPr="00103D9B">
              <w:t>Email</w:t>
            </w:r>
            <w:proofErr w:type="spellEnd"/>
            <w:r w:rsidRPr="00103D9B">
              <w:t>..………………………………………………..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>Ημερομηνία..…./.…../…….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  <w:r w:rsidRPr="00103D9B">
              <w:t xml:space="preserve">Προς : ΔΗΜΟ </w:t>
            </w:r>
            <w:r>
              <w:t xml:space="preserve">ΚΕΝΤΡΙΚΗΣ </w:t>
            </w:r>
            <w:r w:rsidRPr="00103D9B">
              <w:t>ΚΕΡΚΥΡΑΣ</w:t>
            </w:r>
            <w:r>
              <w:t xml:space="preserve"> ΚΑΙ ΔΙΑΠΟΝΤΙΩΝ ΝΗΣΩΝ</w:t>
            </w:r>
            <w:r w:rsidRPr="00103D9B">
              <w:t xml:space="preserve">, </w:t>
            </w:r>
            <w:proofErr w:type="spellStart"/>
            <w:r w:rsidRPr="00103D9B">
              <w:t>Λεωφ</w:t>
            </w:r>
            <w:proofErr w:type="spellEnd"/>
            <w:r w:rsidRPr="00103D9B">
              <w:t>. Αλεξάνδρας 6</w:t>
            </w:r>
            <w:r w:rsidRPr="00103D9B">
              <w:rPr>
                <w:vertAlign w:val="superscript"/>
              </w:rPr>
              <w:t>Α</w:t>
            </w:r>
            <w:r w:rsidRPr="00103D9B">
              <w:t xml:space="preserve">, </w:t>
            </w:r>
            <w:r w:rsidRPr="001C59E7">
              <w:rPr>
                <w:bCs/>
              </w:rPr>
              <w:t>Κέρκυρα</w:t>
            </w:r>
            <w:r>
              <w:rPr>
                <w:bCs/>
              </w:rPr>
              <w:t>, Τ.Κ.</w:t>
            </w:r>
            <w:r w:rsidRPr="001C59E7">
              <w:rPr>
                <w:bCs/>
              </w:rPr>
              <w:t xml:space="preserve"> 49132</w:t>
            </w: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</w:pPr>
          </w:p>
          <w:p w:rsidR="00F4535A" w:rsidRPr="00103D9B" w:rsidRDefault="00F4535A" w:rsidP="00FF07C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03D9B">
              <w:t xml:space="preserve">Σας υποβάλουμε την οικονομική μας προσφορά για τη διακήρυξη σας με αριθμό </w:t>
            </w:r>
            <w:r w:rsidRPr="009A49E4">
              <w:t>……/202</w:t>
            </w:r>
            <w:r>
              <w:t>2</w:t>
            </w:r>
            <w:r w:rsidRPr="00103D9B">
              <w:t xml:space="preserve"> σύμφωνα με τον παρακάτω πίνακα :</w:t>
            </w:r>
            <w:r>
              <w:t xml:space="preserve"> </w:t>
            </w:r>
          </w:p>
          <w:p w:rsidR="00F4535A" w:rsidRPr="00BB58DC" w:rsidRDefault="00F4535A" w:rsidP="00FF07C3">
            <w:pPr>
              <w:spacing w:after="0"/>
              <w:jc w:val="center"/>
            </w:pPr>
          </w:p>
        </w:tc>
      </w:tr>
    </w:tbl>
    <w:p w:rsidR="00F4535A" w:rsidRPr="005924E5" w:rsidRDefault="00F4535A" w:rsidP="00F4535A">
      <w:pPr>
        <w:spacing w:after="0"/>
        <w:rPr>
          <w:smallCaps/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238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9"/>
        <w:gridCol w:w="1276"/>
        <w:gridCol w:w="2835"/>
        <w:gridCol w:w="1134"/>
        <w:gridCol w:w="1168"/>
        <w:gridCol w:w="1383"/>
        <w:gridCol w:w="1276"/>
      </w:tblGrid>
      <w:tr w:rsidR="00F4535A" w:rsidRPr="00904371" w:rsidTr="00F4535A">
        <w:trPr>
          <w:trHeight w:val="378"/>
        </w:trPr>
        <w:tc>
          <w:tcPr>
            <w:tcW w:w="10031" w:type="dxa"/>
            <w:gridSpan w:val="7"/>
            <w:shd w:val="clear" w:color="000000" w:fill="EEECE1"/>
            <w:vAlign w:val="center"/>
            <w:hideMark/>
          </w:tcPr>
          <w:p w:rsidR="00F4535A" w:rsidRPr="00904371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24"/>
                <w:highlight w:val="yellow"/>
              </w:rPr>
            </w:pPr>
            <w:bookmarkStart w:id="1" w:name="_Hlk97893168"/>
            <w:r w:rsidRPr="0018517D">
              <w:rPr>
                <w:b/>
                <w:bCs/>
                <w:color w:val="000000"/>
                <w:sz w:val="24"/>
              </w:rPr>
              <w:t>ΕΝΔΕΙΚΤΙΚΟΣ ΠΡΟΫΠΟΛΟΓΙΣΜΟΣ</w:t>
            </w:r>
          </w:p>
        </w:tc>
      </w:tr>
      <w:tr w:rsidR="00F4535A" w:rsidRPr="0018517D" w:rsidTr="00F4535A">
        <w:trPr>
          <w:trHeight w:val="860"/>
        </w:trPr>
        <w:tc>
          <w:tcPr>
            <w:tcW w:w="959" w:type="dxa"/>
            <w:shd w:val="clear" w:color="000000" w:fill="EEECE1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ΕΝΟΤΗΤΑ</w:t>
            </w:r>
          </w:p>
        </w:tc>
        <w:tc>
          <w:tcPr>
            <w:tcW w:w="1276" w:type="dxa"/>
            <w:shd w:val="clear" w:color="000000" w:fill="EEECE1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ΠΑΡΑΔΟΤΕΑ</w:t>
            </w:r>
          </w:p>
        </w:tc>
        <w:tc>
          <w:tcPr>
            <w:tcW w:w="2835" w:type="dxa"/>
            <w:shd w:val="clear" w:color="000000" w:fill="EEECE1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ΤΙΤΛΟΣ  ΠΑΡΑΔΟΤΕΩΝ</w:t>
            </w:r>
          </w:p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EEECE1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shd w:val="clear" w:color="000000" w:fill="EEECE1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ΠΟΣΟΤΗΤΑ (</w:t>
            </w:r>
            <w:proofErr w:type="spellStart"/>
            <w:r w:rsidRPr="0018517D">
              <w:rPr>
                <w:b/>
                <w:bCs/>
                <w:color w:val="000000"/>
                <w:sz w:val="18"/>
                <w:szCs w:val="18"/>
              </w:rPr>
              <w:t>τμχ</w:t>
            </w:r>
            <w:proofErr w:type="spellEnd"/>
            <w:r w:rsidRPr="0018517D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000000" w:fill="EEECE1"/>
            <w:vAlign w:val="center"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ΤΙΜΗ ΜΟΝΑΔΑΣ (€)</w:t>
            </w:r>
          </w:p>
        </w:tc>
        <w:tc>
          <w:tcPr>
            <w:tcW w:w="1276" w:type="dxa"/>
            <w:shd w:val="clear" w:color="000000" w:fill="EEECE1"/>
            <w:vAlign w:val="center"/>
          </w:tcPr>
          <w:p w:rsidR="00F4535A" w:rsidRPr="0018517D" w:rsidRDefault="00F4535A" w:rsidP="00FF07C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517D">
              <w:rPr>
                <w:b/>
                <w:bCs/>
                <w:color w:val="000000"/>
                <w:sz w:val="18"/>
                <w:szCs w:val="18"/>
              </w:rPr>
              <w:t>ΣΥΝΟΛΟ (€)</w:t>
            </w:r>
          </w:p>
        </w:tc>
      </w:tr>
      <w:tr w:rsidR="00F4535A" w:rsidRPr="00904371" w:rsidTr="00F4535A">
        <w:trPr>
          <w:trHeight w:val="688"/>
        </w:trPr>
        <w:tc>
          <w:tcPr>
            <w:tcW w:w="959" w:type="dxa"/>
            <w:vMerge w:val="restart"/>
            <w:shd w:val="clear" w:color="auto" w:fill="auto"/>
            <w:noWrap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Ε1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>Συναντήσεις της Ομάδας Διαχείρισης του Έργου με φορείς και κοινωνικούς εταίρους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271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 xml:space="preserve">Μνημόνιο </w:t>
            </w:r>
            <w:proofErr w:type="spellStart"/>
            <w:r w:rsidRPr="005579AE">
              <w:rPr>
                <w:color w:val="000000"/>
                <w:sz w:val="18"/>
                <w:szCs w:val="18"/>
              </w:rPr>
              <w:t>Συναντίληψης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178"/>
        </w:trPr>
        <w:tc>
          <w:tcPr>
            <w:tcW w:w="959" w:type="dxa"/>
            <w:vMerge w:val="restart"/>
            <w:shd w:val="clear" w:color="auto" w:fill="auto"/>
            <w:noWrap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Ε2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>Δημιουργικό λογότυπο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395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>Κεντρικό μήνυμα  επικοινωνιακής καμπάνιας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359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Videos</w:t>
            </w:r>
            <w:r w:rsidRPr="005579AE">
              <w:rPr>
                <w:color w:val="000000"/>
                <w:sz w:val="18"/>
                <w:szCs w:val="18"/>
              </w:rPr>
              <w:t xml:space="preserve"> ευαισθητοποίησης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549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>Έντυπο οδηγιών και αποστολή του στους καταναλωτές μέσω του λογαριασμού ύδρευσης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2841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579AE">
              <w:rPr>
                <w:color w:val="000000"/>
                <w:sz w:val="18"/>
                <w:szCs w:val="18"/>
              </w:rPr>
              <w:t xml:space="preserve">Δημιουργία λογαριασμού στην </w:t>
            </w:r>
            <w:r w:rsidRPr="005579AE">
              <w:rPr>
                <w:color w:val="000000"/>
                <w:sz w:val="18"/>
                <w:szCs w:val="18"/>
                <w:lang w:val="en-US"/>
              </w:rPr>
              <w:t>Google</w:t>
            </w:r>
            <w:r w:rsidRPr="005579AE">
              <w:rPr>
                <w:color w:val="000000"/>
                <w:sz w:val="18"/>
                <w:szCs w:val="18"/>
              </w:rPr>
              <w:t>, δημιουργία ειδικών σελίδων και ενημέρωσή τους στις 3 γνωστότερες διαδικτυακές πλατφόρμες κοινωνικής δικτύωση (</w:t>
            </w:r>
            <w:proofErr w:type="spellStart"/>
            <w:r w:rsidRPr="005579AE">
              <w:rPr>
                <w:color w:val="000000"/>
                <w:sz w:val="18"/>
                <w:szCs w:val="18"/>
              </w:rPr>
              <w:t>facebook</w:t>
            </w:r>
            <w:proofErr w:type="spellEnd"/>
            <w:r w:rsidRPr="005579AE">
              <w:rPr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5579AE">
              <w:rPr>
                <w:color w:val="000000"/>
                <w:sz w:val="18"/>
                <w:szCs w:val="18"/>
              </w:rPr>
              <w:t>twitter</w:t>
            </w:r>
            <w:proofErr w:type="spellEnd"/>
            <w:r w:rsidRPr="005579AE">
              <w:rPr>
                <w:color w:val="000000"/>
                <w:sz w:val="18"/>
                <w:szCs w:val="18"/>
              </w:rPr>
              <w:t xml:space="preserve">, </w:t>
            </w:r>
            <w:r w:rsidRPr="005579AE">
              <w:rPr>
                <w:color w:val="000000"/>
                <w:sz w:val="18"/>
                <w:szCs w:val="18"/>
                <w:lang w:val="en-US"/>
              </w:rPr>
              <w:t>YouTube</w:t>
            </w:r>
            <w:r w:rsidRPr="005579AE">
              <w:rPr>
                <w:color w:val="000000"/>
                <w:sz w:val="18"/>
                <w:szCs w:val="18"/>
              </w:rPr>
              <w:t xml:space="preserve">) και  οκτώ (8) </w:t>
            </w:r>
            <w:proofErr w:type="spellStart"/>
            <w:r w:rsidRPr="005579AE">
              <w:rPr>
                <w:color w:val="000000"/>
                <w:sz w:val="18"/>
                <w:szCs w:val="18"/>
              </w:rPr>
              <w:t>στοχευμένες</w:t>
            </w:r>
            <w:proofErr w:type="spellEnd"/>
            <w:r w:rsidRPr="005579AE">
              <w:rPr>
                <w:color w:val="000000"/>
                <w:sz w:val="18"/>
                <w:szCs w:val="18"/>
              </w:rPr>
              <w:t xml:space="preserve"> καμπάνιες ευαισθητοποίησης σε διαφορετικές χρονικές περιόδους (</w:t>
            </w:r>
            <w:r w:rsidRPr="005579AE">
              <w:rPr>
                <w:color w:val="000000"/>
                <w:sz w:val="18"/>
                <w:szCs w:val="18"/>
                <w:lang w:val="en-US"/>
              </w:rPr>
              <w:t>social</w:t>
            </w:r>
            <w:r w:rsidRPr="005579AE">
              <w:rPr>
                <w:color w:val="000000"/>
                <w:sz w:val="18"/>
                <w:szCs w:val="18"/>
              </w:rPr>
              <w:t xml:space="preserve"> </w:t>
            </w:r>
            <w:r w:rsidRPr="005579AE">
              <w:rPr>
                <w:color w:val="000000"/>
                <w:sz w:val="18"/>
                <w:szCs w:val="18"/>
                <w:lang w:val="en-US"/>
              </w:rPr>
              <w:t>media</w:t>
            </w:r>
            <w:r w:rsidRPr="005579AE">
              <w:rPr>
                <w:color w:val="000000"/>
                <w:sz w:val="18"/>
                <w:szCs w:val="18"/>
              </w:rPr>
              <w:t xml:space="preserve"> </w:t>
            </w:r>
            <w:r w:rsidRPr="005579AE">
              <w:rPr>
                <w:color w:val="000000"/>
                <w:sz w:val="18"/>
                <w:szCs w:val="18"/>
                <w:lang w:val="en-US"/>
              </w:rPr>
              <w:t>campaigns</w:t>
            </w:r>
            <w:r w:rsidRPr="005579AE">
              <w:rPr>
                <w:color w:val="000000"/>
                <w:sz w:val="18"/>
                <w:szCs w:val="18"/>
              </w:rPr>
              <w:t>) μέσω του συνόλου των λογαριασμών που θα έχουν δημιουργηθεί για αυτόν τον σκοπό.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Κατ’ αποκοπή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5579AE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1230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706FA">
              <w:rPr>
                <w:color w:val="000000"/>
                <w:sz w:val="18"/>
                <w:szCs w:val="18"/>
              </w:rPr>
              <w:t xml:space="preserve">Οργανωμένη καμπάνια Δημοσιότητας -Καταχωρήσεις στον τοπικό Τύπο (σύνολο τοπικών ημερήσιων εφημερίδων, τουλάχιστον 3 </w:t>
            </w:r>
            <w:proofErr w:type="spellStart"/>
            <w:r w:rsidRPr="009706FA">
              <w:rPr>
                <w:color w:val="000000"/>
                <w:sz w:val="18"/>
                <w:szCs w:val="18"/>
              </w:rPr>
              <w:t>ιστοτόπους</w:t>
            </w:r>
            <w:proofErr w:type="spellEnd"/>
            <w:r w:rsidRPr="009706FA">
              <w:rPr>
                <w:color w:val="000000"/>
                <w:sz w:val="18"/>
                <w:szCs w:val="18"/>
              </w:rPr>
              <w:t>, τουλάχιστον 2 τηλεοπτικά κανάλια, τουλάχιστον 5  ραδιοφωνικούς σταθμούς)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Κατ’ αποκοπή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1035"/>
        </w:trPr>
        <w:tc>
          <w:tcPr>
            <w:tcW w:w="959" w:type="dxa"/>
            <w:vMerge w:val="restart"/>
            <w:shd w:val="clear" w:color="auto" w:fill="auto"/>
            <w:noWrap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Ε3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706FA">
              <w:rPr>
                <w:color w:val="000000"/>
                <w:sz w:val="18"/>
                <w:szCs w:val="18"/>
              </w:rPr>
              <w:t>Διαγωνισμός ζωγραφικής (Δώρα - διοργάνωση)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Κατ’ αποκοπή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540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706FA">
              <w:rPr>
                <w:color w:val="000000"/>
                <w:sz w:val="18"/>
                <w:szCs w:val="18"/>
              </w:rPr>
              <w:t>Θεματική εκδήλωση «</w:t>
            </w:r>
            <w:r w:rsidRPr="009706FA">
              <w:t xml:space="preserve"> </w:t>
            </w:r>
            <w:r w:rsidRPr="009706FA">
              <w:rPr>
                <w:color w:val="000000"/>
                <w:sz w:val="18"/>
                <w:szCs w:val="18"/>
              </w:rPr>
              <w:t>Φεστιβάλ Ευρωπαϊκής Εβδομάδας Μείωσης Αποβλήτων»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Κατ’ αποκοπή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780"/>
        </w:trPr>
        <w:tc>
          <w:tcPr>
            <w:tcW w:w="959" w:type="dxa"/>
            <w:vMerge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Π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4535A" w:rsidRPr="009706FA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706FA">
              <w:rPr>
                <w:color w:val="000000"/>
                <w:sz w:val="18"/>
                <w:szCs w:val="18"/>
              </w:rPr>
              <w:t>Διαμοιρασμός ενημερωτικού - προωθητικού πακέτου που αποτελείται από επαναχρησιμοποιούμενη τσάντα ανακύκλωσης, προωθητικό υλικό  και έντυπο ενημερωτικό υλικό.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jc w:val="center"/>
            </w:pPr>
            <w:r w:rsidRPr="0018517D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4535A" w:rsidRPr="0018517D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8517D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83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35A" w:rsidRPr="00904371" w:rsidTr="00F4535A">
        <w:trPr>
          <w:trHeight w:val="423"/>
        </w:trPr>
        <w:tc>
          <w:tcPr>
            <w:tcW w:w="8755" w:type="dxa"/>
            <w:gridSpan w:val="6"/>
            <w:vAlign w:val="center"/>
            <w:hideMark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  <w:r w:rsidRPr="008B63C5">
              <w:rPr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4535A" w:rsidRPr="00904371" w:rsidTr="00F4535A">
        <w:trPr>
          <w:trHeight w:val="408"/>
        </w:trPr>
        <w:tc>
          <w:tcPr>
            <w:tcW w:w="8755" w:type="dxa"/>
            <w:gridSpan w:val="6"/>
            <w:vAlign w:val="center"/>
            <w:hideMark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  <w:r w:rsidRPr="008B63C5">
              <w:rPr>
                <w:b/>
                <w:color w:val="000000"/>
                <w:sz w:val="20"/>
                <w:szCs w:val="20"/>
              </w:rPr>
              <w:t>Φ.Π.Α. 24%</w:t>
            </w: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4535A" w:rsidRPr="00636D05" w:rsidTr="00F4535A">
        <w:trPr>
          <w:trHeight w:val="319"/>
        </w:trPr>
        <w:tc>
          <w:tcPr>
            <w:tcW w:w="8755" w:type="dxa"/>
            <w:gridSpan w:val="6"/>
            <w:vAlign w:val="center"/>
            <w:hideMark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  <w:r w:rsidRPr="008B63C5">
              <w:rPr>
                <w:b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1276" w:type="dxa"/>
            <w:vAlign w:val="center"/>
          </w:tcPr>
          <w:p w:rsidR="00F4535A" w:rsidRPr="008B63C5" w:rsidRDefault="00F4535A" w:rsidP="00FF07C3">
            <w:pPr>
              <w:spacing w:after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bookmarkEnd w:id="1"/>
    </w:tbl>
    <w:p w:rsidR="00F4535A" w:rsidRDefault="00F4535A" w:rsidP="00F4535A">
      <w:pPr>
        <w:spacing w:after="0"/>
      </w:pPr>
    </w:p>
    <w:p w:rsidR="00F4535A" w:rsidRPr="00103D9B" w:rsidRDefault="00F4535A" w:rsidP="00F4535A">
      <w:pPr>
        <w:spacing w:after="0"/>
      </w:pPr>
      <w:r w:rsidRPr="00103D9B">
        <w:t>Συνολικ</w:t>
      </w:r>
      <w:r>
        <w:t>ή τιμή (συμπεριλαμ</w:t>
      </w:r>
      <w:r w:rsidRPr="00103D9B">
        <w:t>βα</w:t>
      </w:r>
      <w:r>
        <w:t>νομέ</w:t>
      </w:r>
      <w:r w:rsidRPr="00103D9B">
        <w:t>νου ΦΠΑ) ΟΛΟΓΡΑΦΩΣ:</w:t>
      </w:r>
    </w:p>
    <w:p w:rsidR="00F4535A" w:rsidRDefault="00F4535A" w:rsidP="00F4535A">
      <w:pPr>
        <w:spacing w:after="0"/>
      </w:pPr>
    </w:p>
    <w:p w:rsidR="00F4535A" w:rsidRPr="009A49E4" w:rsidRDefault="00F4535A" w:rsidP="00F4535A">
      <w:pPr>
        <w:spacing w:after="0"/>
        <w:jc w:val="right"/>
        <w:rPr>
          <w:bCs/>
        </w:rPr>
      </w:pPr>
      <w:r w:rsidRPr="009A49E4">
        <w:rPr>
          <w:bCs/>
        </w:rPr>
        <w:t>ΚΕΡΚΥΡΑ ……./……./2022</w:t>
      </w:r>
    </w:p>
    <w:p w:rsidR="00F4535A" w:rsidRDefault="00F4535A" w:rsidP="00F4535A">
      <w:pPr>
        <w:spacing w:after="0"/>
        <w:jc w:val="right"/>
        <w:rPr>
          <w:b/>
        </w:rPr>
      </w:pPr>
    </w:p>
    <w:p w:rsidR="00F4535A" w:rsidRPr="001C59E7" w:rsidRDefault="00F4535A" w:rsidP="00F4535A">
      <w:pPr>
        <w:spacing w:after="0"/>
        <w:jc w:val="right"/>
      </w:pPr>
      <w:r w:rsidRPr="001C59E7">
        <w:t>Για τον προσφέροντα</w:t>
      </w:r>
    </w:p>
    <w:p w:rsidR="00F4535A" w:rsidRPr="001C59E7" w:rsidRDefault="00F4535A" w:rsidP="00F4535A">
      <w:pPr>
        <w:spacing w:after="0"/>
        <w:jc w:val="right"/>
      </w:pPr>
    </w:p>
    <w:p w:rsidR="00F4535A" w:rsidRPr="001C59E7" w:rsidRDefault="00F4535A" w:rsidP="00F4535A">
      <w:pPr>
        <w:spacing w:after="0"/>
        <w:jc w:val="right"/>
      </w:pPr>
    </w:p>
    <w:p w:rsidR="00F4535A" w:rsidRPr="00103D9B" w:rsidRDefault="00F4535A" w:rsidP="00F4535A">
      <w:pPr>
        <w:spacing w:after="0"/>
        <w:jc w:val="right"/>
      </w:pPr>
      <w:r w:rsidRPr="00103D9B">
        <w:t>Σφραγίδα / Υπογραφή</w:t>
      </w:r>
    </w:p>
    <w:p w:rsidR="00000000" w:rsidRDefault="00F4535A" w:rsidP="00F4535A">
      <w:pPr>
        <w:spacing w:after="0"/>
        <w:jc w:val="right"/>
      </w:pPr>
      <w:r w:rsidRPr="00103D9B">
        <w:t>Ονοματεπώνυμο νομίμου εκπροσώπου</w:t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4535A"/>
    <w:rsid w:val="00F4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45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F4535A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4535A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45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F4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5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sanakidou</dc:creator>
  <cp:keywords/>
  <dc:description/>
  <cp:lastModifiedBy>giota sanakidou</cp:lastModifiedBy>
  <cp:revision>2</cp:revision>
  <dcterms:created xsi:type="dcterms:W3CDTF">2022-09-19T10:29:00Z</dcterms:created>
  <dcterms:modified xsi:type="dcterms:W3CDTF">2022-09-19T10:30:00Z</dcterms:modified>
</cp:coreProperties>
</file>