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59F" w:rsidRPr="006C45FF" w:rsidRDefault="003F659F" w:rsidP="003F659F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23437110"/>
      <w:r w:rsidRPr="006C45FF">
        <w:rPr>
          <w:rFonts w:ascii="Calibri" w:hAnsi="Calibri"/>
          <w:lang w:val="el-GR"/>
        </w:rPr>
        <w:t>ΠΑΡΑΡΤΗΜΑ ΙIΙ – Υπόδειγμα Οικονομικής Προσφοράς (Προσαρμοσμένο από την Αναθέτουσα Αρχή)</w:t>
      </w:r>
      <w:bookmarkEnd w:id="0"/>
      <w:r w:rsidRPr="006C45FF">
        <w:rPr>
          <w:rFonts w:ascii="Calibri" w:hAnsi="Calibri"/>
          <w:lang w:val="el-GR"/>
        </w:rPr>
        <w:t xml:space="preserve"> </w:t>
      </w:r>
      <w:r w:rsidRPr="006C45FF">
        <w:rPr>
          <w:rFonts w:ascii="Calibri" w:hAnsi="Calibri"/>
          <w:i/>
          <w:color w:val="538135"/>
          <w:lang w:val="el-GR"/>
        </w:rPr>
        <w:t xml:space="preserve"> </w:t>
      </w:r>
    </w:p>
    <w:p w:rsidR="004B41A7" w:rsidRDefault="004B41A7" w:rsidP="003F659F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</w:p>
    <w:p w:rsidR="004B41A7" w:rsidRDefault="004B41A7" w:rsidP="003F659F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</w:p>
    <w:p w:rsidR="003F659F" w:rsidRDefault="003F659F" w:rsidP="003F659F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  <w:r w:rsidRPr="006C45FF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ΕΝΤΥΠΟ ΟΙΚΟΝΟΜΙΚΗΣ ΠΡΟΣΦΟΡΑΣ</w:t>
      </w:r>
    </w:p>
    <w:p w:rsidR="004B41A7" w:rsidRPr="006C45FF" w:rsidRDefault="004B41A7" w:rsidP="003F659F">
      <w:pPr>
        <w:pStyle w:val="Default"/>
        <w:jc w:val="center"/>
        <w:rPr>
          <w:rFonts w:ascii="Calibri" w:hAnsi="Calibri" w:cs="Calibri"/>
          <w:color w:val="auto"/>
          <w:sz w:val="22"/>
          <w:szCs w:val="22"/>
          <w:u w:val="single"/>
        </w:rPr>
      </w:pPr>
    </w:p>
    <w:p w:rsidR="003F659F" w:rsidRPr="006C45FF" w:rsidRDefault="003F659F" w:rsidP="003F659F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C45FF">
        <w:rPr>
          <w:rFonts w:ascii="Calibri" w:hAnsi="Calibri" w:cs="Calibri"/>
          <w:b/>
          <w:bCs/>
          <w:color w:val="auto"/>
          <w:sz w:val="22"/>
          <w:szCs w:val="22"/>
        </w:rPr>
        <w:t>ΠΡΟΣ: ΔΗΜΟ ΚΕΝΤΡΙΚΗΣ ΚΕΡΚΥΡΑΣ ΚΑΙ ΔΙΑΠΟΝΤΙΩΝ ΝΗΣΩΝ</w:t>
      </w:r>
    </w:p>
    <w:p w:rsidR="003F659F" w:rsidRPr="006C45FF" w:rsidRDefault="003F659F" w:rsidP="003F659F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  <w:lang w:val="en-US"/>
        </w:rPr>
      </w:pPr>
      <w:r w:rsidRPr="006C45FF">
        <w:rPr>
          <w:rFonts w:ascii="Calibri" w:hAnsi="Calibri" w:cs="Calibri"/>
          <w:b/>
          <w:bCs/>
          <w:color w:val="auto"/>
          <w:sz w:val="22"/>
          <w:szCs w:val="22"/>
        </w:rPr>
        <w:t>Δ</w:t>
      </w:r>
      <w:r w:rsidRPr="006C45FF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/</w:t>
      </w:r>
      <w:proofErr w:type="spellStart"/>
      <w:r w:rsidRPr="006C45FF">
        <w:rPr>
          <w:rFonts w:ascii="Calibri" w:hAnsi="Calibri" w:cs="Calibri"/>
          <w:b/>
          <w:bCs/>
          <w:color w:val="auto"/>
          <w:sz w:val="22"/>
          <w:szCs w:val="22"/>
        </w:rPr>
        <w:t>νση</w:t>
      </w:r>
      <w:proofErr w:type="spellEnd"/>
      <w:r w:rsidRPr="006C45FF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 xml:space="preserve">: </w:t>
      </w:r>
      <w:r w:rsidRPr="006C45FF">
        <w:rPr>
          <w:rFonts w:ascii="Calibri" w:hAnsi="Calibri" w:cs="Calibri"/>
          <w:sz w:val="22"/>
          <w:szCs w:val="22"/>
          <w:lang w:val="en-US"/>
        </w:rPr>
        <w:t xml:space="preserve"> </w:t>
      </w:r>
    </w:p>
    <w:p w:rsidR="003F659F" w:rsidRPr="006C45FF" w:rsidRDefault="003F659F" w:rsidP="003F659F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  <w:lang w:val="en-US"/>
        </w:rPr>
      </w:pPr>
      <w:r w:rsidRPr="006C45FF">
        <w:rPr>
          <w:rFonts w:ascii="Calibri" w:hAnsi="Calibri" w:cs="Calibri"/>
          <w:b/>
          <w:bCs/>
          <w:color w:val="auto"/>
          <w:sz w:val="22"/>
          <w:szCs w:val="22"/>
        </w:rPr>
        <w:t>Τ</w:t>
      </w:r>
      <w:r w:rsidRPr="006C45FF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.</w:t>
      </w:r>
      <w:r w:rsidRPr="006C45FF">
        <w:rPr>
          <w:rFonts w:ascii="Calibri" w:hAnsi="Calibri" w:cs="Calibri"/>
          <w:b/>
          <w:bCs/>
          <w:color w:val="auto"/>
          <w:sz w:val="22"/>
          <w:szCs w:val="22"/>
        </w:rPr>
        <w:t>Κ</w:t>
      </w:r>
      <w:r w:rsidRPr="006C45FF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.:</w:t>
      </w:r>
    </w:p>
    <w:p w:rsidR="003F659F" w:rsidRPr="006C45FF" w:rsidRDefault="003F659F" w:rsidP="003F659F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  <w:lang w:val="en-US"/>
        </w:rPr>
      </w:pPr>
      <w:r w:rsidRPr="006C45FF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e-mail: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3F659F" w:rsidRPr="006C45FF" w:rsidTr="00257CEE">
        <w:tc>
          <w:tcPr>
            <w:tcW w:w="9016" w:type="dxa"/>
          </w:tcPr>
          <w:p w:rsidR="003F659F" w:rsidRPr="006C45FF" w:rsidRDefault="003F659F" w:rsidP="00257CEE">
            <w:pPr>
              <w:pStyle w:val="Default"/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</w:pPr>
            <w:r w:rsidRPr="006C45FF">
              <w:rPr>
                <w:rFonts w:ascii="Calibri" w:hAnsi="Calibri" w:cs="Calibri"/>
                <w:b/>
                <w:bCs/>
                <w:color w:val="auto"/>
                <w:kern w:val="2"/>
                <w:sz w:val="22"/>
                <w:szCs w:val="22"/>
              </w:rPr>
              <w:t>ΣΤΟΙΧΕΙΑ ΠΡΟΣΦΕΡΟΝΤΟΣ</w:t>
            </w:r>
          </w:p>
          <w:p w:rsidR="003F659F" w:rsidRPr="006C45FF" w:rsidRDefault="003F659F" w:rsidP="00257CEE">
            <w:pPr>
              <w:pStyle w:val="Default"/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</w:pPr>
            <w:r w:rsidRPr="006C45FF"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  <w:t>Ημερομηνία: ……………………………….</w:t>
            </w:r>
          </w:p>
          <w:p w:rsidR="003F659F" w:rsidRPr="006C45FF" w:rsidRDefault="003F659F" w:rsidP="00257CEE">
            <w:pPr>
              <w:pStyle w:val="Default"/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</w:pPr>
            <w:r w:rsidRPr="006C45FF"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  <w:t>Επωνυμία: ……………………………….</w:t>
            </w:r>
          </w:p>
          <w:p w:rsidR="003F659F" w:rsidRPr="006C45FF" w:rsidRDefault="003F659F" w:rsidP="00257CEE">
            <w:pPr>
              <w:pStyle w:val="Default"/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</w:pPr>
            <w:r w:rsidRPr="006C45FF"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  <w:t>Έδρα (πόλη): ……………………………….</w:t>
            </w:r>
          </w:p>
          <w:p w:rsidR="003F659F" w:rsidRPr="006C45FF" w:rsidRDefault="003F659F" w:rsidP="00257CEE">
            <w:pPr>
              <w:pStyle w:val="Default"/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</w:pPr>
            <w:r w:rsidRPr="006C45FF"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  <w:t xml:space="preserve">Διεύθυνση: οδός ………………………………., </w:t>
            </w:r>
            <w:proofErr w:type="spellStart"/>
            <w:r w:rsidRPr="006C45FF"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  <w:t>αριθμ</w:t>
            </w:r>
            <w:proofErr w:type="spellEnd"/>
            <w:r w:rsidRPr="006C45FF"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  <w:t>.: ……………………………….</w:t>
            </w:r>
          </w:p>
          <w:p w:rsidR="003F659F" w:rsidRPr="006C45FF" w:rsidRDefault="003F659F" w:rsidP="00257CEE">
            <w:pPr>
              <w:pStyle w:val="Default"/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</w:pPr>
            <w:r w:rsidRPr="006C45FF"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  <w:t xml:space="preserve">Τ.Κ.: ………………………………., </w:t>
            </w:r>
            <w:proofErr w:type="spellStart"/>
            <w:r w:rsidRPr="006C45FF"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  <w:t>Τηλ</w:t>
            </w:r>
            <w:proofErr w:type="spellEnd"/>
            <w:r w:rsidRPr="006C45FF"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  <w:t>.: ………………………………., Email: ……………………………….</w:t>
            </w:r>
          </w:p>
        </w:tc>
      </w:tr>
    </w:tbl>
    <w:p w:rsidR="004B41A7" w:rsidRDefault="004B41A7" w:rsidP="003F659F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4B41A7" w:rsidRDefault="004B41A7" w:rsidP="003F659F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3F659F" w:rsidRDefault="003F659F" w:rsidP="003F659F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C45FF">
        <w:rPr>
          <w:rFonts w:ascii="Calibri" w:hAnsi="Calibri" w:cs="Calibri"/>
          <w:b/>
          <w:bCs/>
          <w:color w:val="auto"/>
          <w:sz w:val="22"/>
          <w:szCs w:val="22"/>
        </w:rPr>
        <w:t>ΕΝΤΥΠΟ ΟΙΚΟΝΟΜΙΚΗΣ ΠΡΟΣΦΟΡΑΣ</w:t>
      </w:r>
    </w:p>
    <w:p w:rsidR="003F659F" w:rsidRPr="006C45FF" w:rsidRDefault="003F659F" w:rsidP="003F65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bookmarkStart w:id="1" w:name="_GoBack"/>
      <w:bookmarkEnd w:id="1"/>
      <w:r w:rsidRPr="006C45FF">
        <w:rPr>
          <w:rFonts w:ascii="Calibri" w:hAnsi="Calibri" w:cs="Calibri"/>
          <w:color w:val="auto"/>
          <w:sz w:val="22"/>
          <w:szCs w:val="22"/>
        </w:rPr>
        <w:t xml:space="preserve">Αφού έλαβα γνώση της διακήρυξης </w:t>
      </w:r>
      <w:r w:rsidRPr="006C45FF">
        <w:rPr>
          <w:rFonts w:ascii="Calibri" w:hAnsi="Calibri" w:cs="Calibri"/>
          <w:sz w:val="22"/>
          <w:szCs w:val="22"/>
        </w:rPr>
        <w:t>Συμβάσεως παροχής γενικών Υπηρεσιών με Ανοικτή Διαδικασία μέσω ΕΣΗΔΗΣ με τίτλο «Σύμβαση Υπηρεσιών Συμβούλου Διαχείρισης, Υποστήριξης   και  Επικοινωνίας του   Έργου “</w:t>
      </w:r>
      <w:proofErr w:type="spellStart"/>
      <w:r w:rsidRPr="006C45FF">
        <w:rPr>
          <w:rFonts w:ascii="Calibri" w:hAnsi="Calibri" w:cs="Calibri"/>
          <w:sz w:val="22"/>
          <w:szCs w:val="22"/>
        </w:rPr>
        <w:t>Introduction</w:t>
      </w:r>
      <w:proofErr w:type="spellEnd"/>
      <w:r w:rsidRPr="006C45FF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6C45FF">
        <w:rPr>
          <w:rFonts w:ascii="Calibri" w:hAnsi="Calibri" w:cs="Calibri"/>
          <w:sz w:val="22"/>
          <w:szCs w:val="22"/>
        </w:rPr>
        <w:t>innovative</w:t>
      </w:r>
      <w:proofErr w:type="spellEnd"/>
      <w:r w:rsidRPr="006C45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C45FF">
        <w:rPr>
          <w:rFonts w:ascii="Calibri" w:hAnsi="Calibri" w:cs="Calibri"/>
          <w:sz w:val="22"/>
          <w:szCs w:val="22"/>
        </w:rPr>
        <w:t>waste</w:t>
      </w:r>
      <w:proofErr w:type="spellEnd"/>
      <w:r w:rsidRPr="006C45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C45FF">
        <w:rPr>
          <w:rFonts w:ascii="Calibri" w:hAnsi="Calibri" w:cs="Calibri"/>
          <w:sz w:val="22"/>
          <w:szCs w:val="22"/>
        </w:rPr>
        <w:t>collection</w:t>
      </w:r>
      <w:proofErr w:type="spellEnd"/>
      <w:r w:rsidRPr="006C45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C45FF">
        <w:rPr>
          <w:rFonts w:ascii="Calibri" w:hAnsi="Calibri" w:cs="Calibri"/>
          <w:sz w:val="22"/>
          <w:szCs w:val="22"/>
        </w:rPr>
        <w:t>procedures</w:t>
      </w:r>
      <w:proofErr w:type="spellEnd"/>
      <w:r w:rsidRPr="006C45FF">
        <w:rPr>
          <w:rFonts w:ascii="Calibri" w:hAnsi="Calibri" w:cs="Calibri"/>
          <w:sz w:val="22"/>
          <w:szCs w:val="22"/>
        </w:rPr>
        <w:t xml:space="preserve"> for the </w:t>
      </w:r>
      <w:proofErr w:type="spellStart"/>
      <w:r w:rsidRPr="006C45FF">
        <w:rPr>
          <w:rFonts w:ascii="Calibri" w:hAnsi="Calibri" w:cs="Calibri"/>
          <w:sz w:val="22"/>
          <w:szCs w:val="22"/>
        </w:rPr>
        <w:t>promotion</w:t>
      </w:r>
      <w:proofErr w:type="spellEnd"/>
      <w:r w:rsidRPr="006C45FF">
        <w:rPr>
          <w:rFonts w:ascii="Calibri" w:hAnsi="Calibri" w:cs="Calibri"/>
          <w:sz w:val="22"/>
          <w:szCs w:val="22"/>
        </w:rPr>
        <w:t xml:space="preserve"> of the </w:t>
      </w:r>
      <w:proofErr w:type="spellStart"/>
      <w:r w:rsidRPr="006C45FF">
        <w:rPr>
          <w:rFonts w:ascii="Calibri" w:hAnsi="Calibri" w:cs="Calibri"/>
          <w:sz w:val="22"/>
          <w:szCs w:val="22"/>
        </w:rPr>
        <w:t>circular</w:t>
      </w:r>
      <w:proofErr w:type="spellEnd"/>
      <w:r w:rsidRPr="006C45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C45FF">
        <w:rPr>
          <w:rFonts w:ascii="Calibri" w:hAnsi="Calibri" w:cs="Calibri"/>
          <w:sz w:val="22"/>
          <w:szCs w:val="22"/>
        </w:rPr>
        <w:t>economy</w:t>
      </w:r>
      <w:proofErr w:type="spellEnd"/>
      <w:r w:rsidRPr="006C45FF">
        <w:rPr>
          <w:rFonts w:ascii="Calibri" w:hAnsi="Calibri" w:cs="Calibri"/>
          <w:sz w:val="22"/>
          <w:szCs w:val="22"/>
        </w:rPr>
        <w:t xml:space="preserve"> in the </w:t>
      </w:r>
      <w:proofErr w:type="spellStart"/>
      <w:r w:rsidRPr="006C45FF">
        <w:rPr>
          <w:rFonts w:ascii="Calibri" w:hAnsi="Calibri" w:cs="Calibri"/>
          <w:sz w:val="22"/>
          <w:szCs w:val="22"/>
        </w:rPr>
        <w:t>towns</w:t>
      </w:r>
      <w:proofErr w:type="spellEnd"/>
      <w:r w:rsidRPr="006C45FF">
        <w:rPr>
          <w:rFonts w:ascii="Calibri" w:hAnsi="Calibri" w:cs="Calibri"/>
          <w:sz w:val="22"/>
          <w:szCs w:val="22"/>
        </w:rPr>
        <w:t xml:space="preserve"> of the </w:t>
      </w:r>
      <w:proofErr w:type="spellStart"/>
      <w:r w:rsidRPr="006C45FF">
        <w:rPr>
          <w:rFonts w:ascii="Calibri" w:hAnsi="Calibri" w:cs="Calibri"/>
          <w:sz w:val="22"/>
          <w:szCs w:val="22"/>
        </w:rPr>
        <w:t>programme</w:t>
      </w:r>
      <w:proofErr w:type="spellEnd"/>
      <w:r w:rsidRPr="006C45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C45FF">
        <w:rPr>
          <w:rFonts w:ascii="Calibri" w:hAnsi="Calibri" w:cs="Calibri"/>
          <w:sz w:val="22"/>
          <w:szCs w:val="22"/>
        </w:rPr>
        <w:t>area</w:t>
      </w:r>
      <w:proofErr w:type="spellEnd"/>
      <w:r w:rsidRPr="006C45FF">
        <w:rPr>
          <w:rFonts w:ascii="Calibri" w:hAnsi="Calibri" w:cs="Calibri"/>
          <w:sz w:val="22"/>
          <w:szCs w:val="22"/>
        </w:rPr>
        <w:t xml:space="preserve"> (ECOTOWN)», στο πλαίσιο του Προγράμματος Ευρωπαϊκής Εδαφικής Συνεργασίας </w:t>
      </w:r>
      <w:proofErr w:type="spellStart"/>
      <w:r w:rsidRPr="006C45FF">
        <w:rPr>
          <w:rFonts w:ascii="Calibri" w:hAnsi="Calibri" w:cs="Calibri"/>
          <w:sz w:val="22"/>
          <w:szCs w:val="22"/>
        </w:rPr>
        <w:t>Interreg</w:t>
      </w:r>
      <w:proofErr w:type="spellEnd"/>
      <w:r w:rsidRPr="006C45FF">
        <w:rPr>
          <w:rFonts w:ascii="Calibri" w:hAnsi="Calibri" w:cs="Calibri"/>
          <w:sz w:val="22"/>
          <w:szCs w:val="22"/>
        </w:rPr>
        <w:t xml:space="preserve"> Ελλάδα-Ιταλία 2021-2027»,</w:t>
      </w:r>
      <w:r w:rsidRPr="006C45FF">
        <w:rPr>
          <w:rFonts w:ascii="Calibri" w:hAnsi="Calibri" w:cs="Calibri"/>
          <w:color w:val="auto"/>
          <w:sz w:val="22"/>
          <w:szCs w:val="22"/>
        </w:rPr>
        <w:t xml:space="preserve"> με την οποία και συμφωνώ, υποβάλλω την παρούσα οικονομική προσφορά.</w:t>
      </w:r>
    </w:p>
    <w:p w:rsidR="003F659F" w:rsidRPr="006C45FF" w:rsidRDefault="003F659F" w:rsidP="003F65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1440"/>
        <w:gridCol w:w="4084"/>
        <w:gridCol w:w="1559"/>
        <w:gridCol w:w="2551"/>
      </w:tblGrid>
      <w:tr w:rsidR="003F659F" w:rsidRPr="006C45FF" w:rsidTr="00257CEE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bookmarkStart w:id="2" w:name="_Hlk223085232"/>
            <w:proofErr w:type="spellStart"/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Παραδοτέo</w:t>
            </w:r>
            <w:proofErr w:type="spellEnd"/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Περιγραφή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 xml:space="preserve">Κωδικός Παραδοτέου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 xml:space="preserve">ΠΡΟΣΦΕΡΟΜΕΝΗ ΤΙΜΗ (χωρίς ΦΠΑ) 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 xml:space="preserve">1.2 </w:t>
            </w:r>
          </w:p>
        </w:tc>
        <w:tc>
          <w:tcPr>
            <w:tcW w:w="4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Διαχείριση και συντονισμός έργου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 xml:space="preserve">Π1.2-1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Π1.2-2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Π1.2-3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Π1.2-4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Π1.2-5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Π1.2-6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Π1.2-7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Π1.2-8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Π1.2-9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Π1.2-10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Π1.2-11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Π1.2-12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Π1.2-13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Π1.2-14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6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lastRenderedPageBreak/>
              <w:t>1.3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Συναντήσεις έργου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Π1.3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2.1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Πλάνο Επικοινωνίας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Π2.1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30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2.2</w:t>
            </w:r>
          </w:p>
        </w:tc>
        <w:tc>
          <w:tcPr>
            <w:tcW w:w="4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 xml:space="preserve"> Ανάπτυξη Περιεχομένου για τις δράσεις επικοινωνίας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Π2.2-1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30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Π2.2-2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2.3</w:t>
            </w:r>
          </w:p>
        </w:tc>
        <w:tc>
          <w:tcPr>
            <w:tcW w:w="4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Π2.3 - Προωθητικό υλικό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Π2.3 -1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Π2.3 -2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Π2.3 -3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Π2.3 -4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Π2.3 -5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Π2.3 -6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Π2.3 -7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3.1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Μελέτη υφιστάμενων πρακτικών διαχείρισης αποβλήτων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ΠΕ3.1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11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3.2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1"/>
                <w:szCs w:val="21"/>
                <w:lang w:val="el-GR" w:eastAsia="el-GR"/>
              </w:rPr>
            </w:pPr>
            <w:r w:rsidRPr="006C45FF">
              <w:rPr>
                <w:b/>
                <w:bCs/>
                <w:color w:val="000000"/>
                <w:sz w:val="21"/>
                <w:szCs w:val="21"/>
                <w:lang w:val="el-GR" w:eastAsia="el-GR"/>
              </w:rPr>
              <w:t xml:space="preserve"> Έκθεση σχετικά με τις προκλήσεις που απορρέουν από το μέγεθος των κατοικημένων κέντρων και τη διαθεσιμότητα πόρων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ΠΕ3.2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3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3.3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 xml:space="preserve"> Έκθεση για το περιφερειακό εργαστήριο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Π3.3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4.2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Παραδοτέο 4.2 Έκθεση για τη κοινή δοκιμή των καινοτόμων συστημάτων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ΠΕ4.2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6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4.3</w:t>
            </w:r>
          </w:p>
        </w:tc>
        <w:tc>
          <w:tcPr>
            <w:tcW w:w="4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Παραδοτέο 4.3- Έκθεση σχετικά με την περιφερειακή εκπαίδευση για την πιλοτική εφαρμογή καινοτόμων συστημάτων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Π4.3-1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0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Π4.3-2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46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Π4.3-3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5.1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Παραδοτέο 5.1 Κοινό Σχέδιο Δράσης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Π5.1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8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5.2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1"/>
                <w:szCs w:val="21"/>
                <w:lang w:val="el-GR" w:eastAsia="el-GR"/>
              </w:rPr>
            </w:pPr>
            <w:r w:rsidRPr="006C45FF">
              <w:rPr>
                <w:b/>
                <w:bCs/>
                <w:color w:val="000000"/>
                <w:sz w:val="21"/>
                <w:szCs w:val="21"/>
                <w:lang w:val="el-GR" w:eastAsia="el-GR"/>
              </w:rPr>
              <w:t>Παραδοτέο 5.2 Έκθεση Στρατηγικές κατευθυντήριες γραμμές για την αναπαραγωγή του έργου σε άλλες περιοχές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Π5.2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61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5.3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Παραδοτέο 5.3- Έκθεση με τις ενέργειες αξιοποίησης αποτελεσμάτων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Π5.3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C45F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615"/>
        </w:trPr>
        <w:tc>
          <w:tcPr>
            <w:tcW w:w="70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Σ Υ Ν Ο Λ Ο   χωρίς   Φ.Π.Α.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52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Φ.Π.Α.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3F659F" w:rsidRPr="006C45FF" w:rsidTr="00257CEE">
        <w:trPr>
          <w:trHeight w:val="61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 xml:space="preserve">Σ Υ Ν Ο Λ Ο με Φ.Π.Α.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659F" w:rsidRPr="006C45FF" w:rsidRDefault="003F659F" w:rsidP="00257CEE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6C45FF">
              <w:rPr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</w:tr>
      <w:bookmarkEnd w:id="2"/>
    </w:tbl>
    <w:p w:rsidR="003F659F" w:rsidRPr="006C45FF" w:rsidRDefault="003F659F" w:rsidP="003F65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3F659F" w:rsidRPr="006C45FF" w:rsidRDefault="003F659F" w:rsidP="003F65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6C45FF">
        <w:rPr>
          <w:rFonts w:ascii="Calibri" w:hAnsi="Calibri" w:cs="Calibri"/>
          <w:color w:val="auto"/>
          <w:sz w:val="22"/>
          <w:szCs w:val="22"/>
        </w:rPr>
        <w:t>Συνολική προσφερόμενη τιμή (χωρίς Φ.Π.Α) ολογράφως: ……………………………………………………………………</w:t>
      </w:r>
    </w:p>
    <w:p w:rsidR="003F659F" w:rsidRPr="006C45FF" w:rsidRDefault="003F659F" w:rsidP="003F65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6C45FF">
        <w:rPr>
          <w:rFonts w:ascii="Calibri" w:hAnsi="Calibri" w:cs="Calibri"/>
          <w:color w:val="auto"/>
          <w:sz w:val="22"/>
          <w:szCs w:val="22"/>
        </w:rPr>
        <w:t>Συνολική προσφερόμενη τιμή (</w:t>
      </w:r>
      <w:proofErr w:type="spellStart"/>
      <w:r w:rsidRPr="006C45FF">
        <w:rPr>
          <w:rFonts w:ascii="Calibri" w:hAnsi="Calibri" w:cs="Calibri"/>
          <w:color w:val="auto"/>
          <w:sz w:val="22"/>
          <w:szCs w:val="22"/>
        </w:rPr>
        <w:t>συμπ</w:t>
      </w:r>
      <w:proofErr w:type="spellEnd"/>
      <w:r w:rsidRPr="006C45FF">
        <w:rPr>
          <w:rFonts w:ascii="Calibri" w:hAnsi="Calibri" w:cs="Calibri"/>
          <w:color w:val="auto"/>
          <w:sz w:val="22"/>
          <w:szCs w:val="22"/>
        </w:rPr>
        <w:t>. Φ.Π.Α) ολογράφως: ……………………………………………………………………</w:t>
      </w:r>
    </w:p>
    <w:p w:rsidR="003F659F" w:rsidRPr="006C45FF" w:rsidRDefault="003F659F" w:rsidP="003F659F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6C45FF">
        <w:rPr>
          <w:rFonts w:ascii="Calibri" w:hAnsi="Calibri" w:cs="Calibri"/>
          <w:sz w:val="22"/>
          <w:szCs w:val="22"/>
        </w:rPr>
        <w:lastRenderedPageBreak/>
        <w:t>Η διάρκεια ισχύος της προσφοράς</w:t>
      </w:r>
      <w:r w:rsidRPr="006C45FF">
        <w:rPr>
          <w:rFonts w:ascii="Calibri" w:hAnsi="Calibri" w:cs="Calibri"/>
          <w:b/>
          <w:bCs/>
          <w:sz w:val="22"/>
          <w:szCs w:val="22"/>
        </w:rPr>
        <w:t xml:space="preserve"> δώδεκα (12) μήνες από την επόμενη της καταληκτικής ημερομηνίας υποβολής προσφορών.</w:t>
      </w:r>
    </w:p>
    <w:p w:rsidR="004B41A7" w:rsidRDefault="004B41A7" w:rsidP="003F659F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B41A7" w:rsidRDefault="004B41A7" w:rsidP="003F659F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B41A7" w:rsidRDefault="004B41A7" w:rsidP="003F659F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F659F" w:rsidRDefault="003F659F" w:rsidP="003F659F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6C45FF">
        <w:rPr>
          <w:rFonts w:ascii="Calibri" w:hAnsi="Calibri" w:cs="Calibri"/>
          <w:b/>
          <w:bCs/>
          <w:sz w:val="22"/>
          <w:szCs w:val="22"/>
        </w:rPr>
        <w:t>Ο προσφέρων</w:t>
      </w:r>
    </w:p>
    <w:p w:rsidR="004B41A7" w:rsidRPr="006C45FF" w:rsidRDefault="004B41A7" w:rsidP="003F659F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F659F" w:rsidRDefault="003F659F" w:rsidP="003F659F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6C45FF">
        <w:rPr>
          <w:rFonts w:ascii="Calibri" w:hAnsi="Calibri" w:cs="Calibri"/>
          <w:sz w:val="22"/>
          <w:szCs w:val="22"/>
        </w:rPr>
        <w:t xml:space="preserve">(Υπογραφή, Σφραγίδα της εταιρείας) </w:t>
      </w:r>
    </w:p>
    <w:p w:rsidR="004B41A7" w:rsidRPr="006C45FF" w:rsidRDefault="004B41A7" w:rsidP="003F659F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F32707" w:rsidRDefault="003F659F" w:rsidP="003F659F">
      <w:pPr>
        <w:jc w:val="center"/>
      </w:pPr>
      <w:r w:rsidRPr="006C45FF">
        <w:rPr>
          <w:szCs w:val="22"/>
          <w:lang w:val="el-GR"/>
        </w:rPr>
        <w:t>(Ονοματεπώνυμο, Ιδιότητα στην εταιρία)</w:t>
      </w:r>
    </w:p>
    <w:sectPr w:rsidR="00F32707" w:rsidSect="00D01E76">
      <w:pgSz w:w="11906" w:h="16838"/>
      <w:pgMar w:top="1440" w:right="184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9F"/>
    <w:rsid w:val="003F659F"/>
    <w:rsid w:val="004B41A7"/>
    <w:rsid w:val="005242D0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7A8A"/>
  <w15:chartTrackingRefBased/>
  <w15:docId w15:val="{5FF50C01-98D2-4988-BF67-6D4F75DF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59F"/>
    <w:pPr>
      <w:suppressAutoHyphens/>
      <w:spacing w:after="120"/>
      <w:jc w:val="both"/>
    </w:pPr>
    <w:rPr>
      <w:rFonts w:ascii="Calibri" w:eastAsia="Times New Roman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jc w:val="left"/>
      <w:outlineLvl w:val="0"/>
    </w:pPr>
    <w:rPr>
      <w:rFonts w:ascii="Arial" w:eastAsiaTheme="minorHAnsi" w:hAnsi="Arial" w:cs="Times New Roman"/>
      <w:b/>
      <w:bCs/>
      <w:color w:val="333399"/>
      <w:kern w:val="2"/>
      <w:sz w:val="28"/>
      <w:szCs w:val="32"/>
      <w:lang w:val="en-US" w:bidi="hi-IN"/>
    </w:rPr>
  </w:style>
  <w:style w:type="paragraph" w:styleId="2">
    <w:name w:val="heading 2"/>
    <w:basedOn w:val="1"/>
    <w:next w:val="a"/>
    <w:link w:val="2Char"/>
    <w:uiPriority w:val="9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jc w:val="left"/>
      <w:outlineLvl w:val="2"/>
    </w:pPr>
    <w:rPr>
      <w:rFonts w:ascii="Arial" w:hAnsi="Arial" w:cs="Times New Roman"/>
      <w:b/>
      <w:bCs/>
      <w:kern w:val="2"/>
      <w:sz w:val="24"/>
      <w:szCs w:val="26"/>
      <w:lang w:val="el-GR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uiPriority w:val="9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/>
      <w:jc w:val="left"/>
    </w:pPr>
    <w:rPr>
      <w:rFonts w:ascii="Liberation Serif" w:eastAsiaTheme="minorHAnsi" w:hAnsi="Liberation Serif" w:cs="Arial"/>
      <w:i/>
      <w:iCs/>
      <w:kern w:val="2"/>
      <w:sz w:val="24"/>
      <w:lang w:val="el-GR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  <w:jc w:val="left"/>
    </w:pPr>
    <w:rPr>
      <w:rFonts w:ascii="Liberation Serif" w:eastAsiaTheme="minorHAnsi" w:hAnsi="Liberation Serif" w:cs="Arial"/>
      <w:kern w:val="2"/>
      <w:sz w:val="24"/>
      <w:lang w:val="el-GR" w:bidi="hi-IN"/>
    </w:rPr>
  </w:style>
  <w:style w:type="paragraph" w:customStyle="1" w:styleId="Default">
    <w:name w:val="Default"/>
    <w:rsid w:val="003F659F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2</cp:revision>
  <dcterms:created xsi:type="dcterms:W3CDTF">2026-03-17T11:40:00Z</dcterms:created>
  <dcterms:modified xsi:type="dcterms:W3CDTF">2026-03-17T11:47:00Z</dcterms:modified>
</cp:coreProperties>
</file>